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0"/>
        <w:rPr>
          <w:szCs w:val="24"/>
        </w:rPr>
      </w:pPr>
      <w:r>
        <w:rPr>
          <w:szCs w:val="24"/>
        </w:rPr>
        <w:t xml:space="preserve">ДОГОВОР О ЗАДАТКЕ</w:t>
      </w:r>
      <w:r/>
    </w:p>
    <w:p>
      <w:pPr>
        <w:pStyle w:val="876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876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г. Омск                                                                                                   «___» _____________ 20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6 г.</w:t>
      </w:r>
      <w:r/>
    </w:p>
    <w:p>
      <w:pPr>
        <w:pStyle w:val="876"/>
        <w:ind w:firstLine="709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Финансовый</w:t>
      </w:r>
      <w:r>
        <w:rPr>
          <w:sz w:val="24"/>
          <w:szCs w:val="24"/>
        </w:rPr>
        <w:t xml:space="preserve"> управляющий </w:t>
      </w:r>
      <w:r>
        <w:rPr>
          <w:sz w:val="24"/>
          <w:szCs w:val="24"/>
        </w:rPr>
        <w:t xml:space="preserve">гр. </w:t>
      </w:r>
      <w:r>
        <w:rPr>
          <w:sz w:val="24"/>
          <w:szCs w:val="24"/>
        </w:rPr>
        <w:t xml:space="preserve">Пищаловой Екатерины Валерьевны </w:t>
      </w:r>
      <w:r>
        <w:rPr>
          <w:sz w:val="24"/>
          <w:szCs w:val="24"/>
        </w:rPr>
        <w:t xml:space="preserve">Гвоздкова Наталья Владимировна, именуемая</w:t>
      </w:r>
      <w:r>
        <w:rPr>
          <w:sz w:val="24"/>
          <w:szCs w:val="24"/>
        </w:rPr>
        <w:t xml:space="preserve"> в дальнейшем </w:t>
      </w:r>
      <w:r>
        <w:rPr>
          <w:b/>
          <w:bCs/>
          <w:sz w:val="24"/>
          <w:szCs w:val="24"/>
        </w:rPr>
        <w:t xml:space="preserve">Организатор торгов</w:t>
      </w:r>
      <w:r>
        <w:rPr>
          <w:sz w:val="24"/>
          <w:szCs w:val="24"/>
        </w:rPr>
        <w:t xml:space="preserve">, действующ</w:t>
      </w:r>
      <w:r>
        <w:rPr>
          <w:sz w:val="24"/>
          <w:szCs w:val="24"/>
        </w:rPr>
        <w:t xml:space="preserve">ая</w:t>
      </w:r>
      <w:r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 xml:space="preserve">Решения Арбитражного суда </w:t>
      </w:r>
      <w:r>
        <w:rPr>
          <w:sz w:val="24"/>
          <w:szCs w:val="24"/>
        </w:rPr>
        <w:t xml:space="preserve">Ростовской области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02.12.2025 года по делу А53-3331/2025</w:t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с одной стороны, и </w:t>
      </w:r>
      <w:r>
        <w:rPr>
          <w:sz w:val="24"/>
          <w:szCs w:val="24"/>
        </w:rPr>
        <w:t xml:space="preserve">__________________</w:t>
      </w:r>
      <w:r>
        <w:rPr>
          <w:sz w:val="24"/>
          <w:szCs w:val="24"/>
        </w:rPr>
        <w:t xml:space="preserve">___</w:t>
      </w:r>
      <w:r>
        <w:rPr>
          <w:sz w:val="24"/>
          <w:szCs w:val="24"/>
        </w:rPr>
        <w:t xml:space="preserve">____________________________________________, именуемый в дальнейшем </w:t>
      </w:r>
      <w:r>
        <w:rPr>
          <w:b/>
          <w:bCs/>
          <w:sz w:val="24"/>
          <w:szCs w:val="24"/>
        </w:rPr>
        <w:t xml:space="preserve">Заявитель</w:t>
      </w:r>
      <w:r>
        <w:rPr>
          <w:sz w:val="24"/>
          <w:szCs w:val="24"/>
        </w:rPr>
        <w:t xml:space="preserve">, в лице ___</w:t>
      </w:r>
      <w:r>
        <w:rPr>
          <w:sz w:val="24"/>
          <w:szCs w:val="24"/>
        </w:rPr>
        <w:t xml:space="preserve">______________________</w:t>
      </w:r>
      <w:r>
        <w:rPr>
          <w:sz w:val="24"/>
          <w:szCs w:val="24"/>
        </w:rPr>
        <w:t xml:space="preserve">_____</w:t>
      </w:r>
      <w:r>
        <w:rPr>
          <w:sz w:val="24"/>
          <w:szCs w:val="24"/>
        </w:rPr>
        <w:t xml:space="preserve">___________</w:t>
      </w:r>
      <w:r>
        <w:rPr>
          <w:sz w:val="24"/>
          <w:szCs w:val="24"/>
        </w:rPr>
        <w:t xml:space="preserve">  действующий на основании ______</w:t>
      </w:r>
      <w:r>
        <w:rPr>
          <w:sz w:val="24"/>
          <w:szCs w:val="24"/>
        </w:rPr>
        <w:t xml:space="preserve">____________________________</w:t>
      </w:r>
      <w:r>
        <w:rPr>
          <w:sz w:val="24"/>
          <w:szCs w:val="24"/>
        </w:rPr>
        <w:t xml:space="preserve">______________________, с другой стороны, а вместе далее именуемые </w:t>
      </w:r>
      <w:r>
        <w:rPr>
          <w:b/>
          <w:bCs/>
          <w:sz w:val="24"/>
          <w:szCs w:val="24"/>
        </w:rPr>
        <w:t xml:space="preserve">Стороны</w:t>
      </w:r>
      <w:r>
        <w:rPr>
          <w:sz w:val="24"/>
          <w:szCs w:val="24"/>
        </w:rPr>
        <w:t xml:space="preserve">, заключили настоящий Договор о нижеследующем:</w:t>
      </w:r>
      <w:r/>
      <w:r/>
      <w:r>
        <w:rPr>
          <w:sz w:val="24"/>
          <w:szCs w:val="24"/>
        </w:rPr>
      </w:r>
    </w:p>
    <w:p>
      <w:pPr>
        <w:pStyle w:val="876"/>
        <w:ind w:firstLine="709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876"/>
        <w:numPr>
          <w:ilvl w:val="0"/>
          <w:numId w:val="2"/>
        </w:numPr>
        <w:ind w:left="0"/>
        <w:jc w:val="center"/>
        <w:spacing w:after="0" w:line="240" w:lineRule="auto"/>
        <w:tabs>
          <w:tab w:val="left" w:pos="36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Предмет Договора</w:t>
      </w:r>
      <w:r/>
    </w:p>
    <w:p>
      <w:pPr>
        <w:pStyle w:val="876"/>
        <w:spacing w:after="0" w:line="240" w:lineRule="auto"/>
        <w:tabs>
          <w:tab w:val="left" w:pos="36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pStyle w:val="876"/>
        <w:numPr>
          <w:ilvl w:val="1"/>
          <w:numId w:val="2"/>
        </w:numPr>
        <w:ind w:left="0" w:firstLine="709"/>
        <w:jc w:val="both"/>
        <w:spacing w:after="0" w:line="240" w:lineRule="auto"/>
        <w:tabs>
          <w:tab w:val="left" w:pos="-2977" w:leader="none"/>
          <w:tab w:val="left" w:pos="-2268" w:leader="none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Заявитель обязуется перечислить на </w:t>
      </w:r>
      <w:r>
        <w:rPr>
          <w:sz w:val="24"/>
        </w:rPr>
        <w:t xml:space="preserve">расчетный счет</w:t>
      </w:r>
      <w:r>
        <w:rPr>
          <w:sz w:val="24"/>
          <w:szCs w:val="24"/>
        </w:rPr>
        <w:t xml:space="preserve"> задаток в размере 10</w:t>
      </w:r>
      <w:r>
        <w:rPr>
          <w:sz w:val="24"/>
          <w:szCs w:val="24"/>
        </w:rPr>
        <w:t xml:space="preserve">%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начальной цены продажи</w:t>
      </w:r>
      <w:r>
        <w:rPr>
          <w:sz w:val="24"/>
          <w:szCs w:val="24"/>
        </w:rPr>
        <w:t xml:space="preserve"> в счет обеспечения оплаты лота № 1:</w:t>
      </w:r>
      <w:r>
        <w:rPr>
          <w:b/>
          <w:bCs/>
          <w:sz w:val="24"/>
          <w:szCs w:val="24"/>
        </w:rPr>
      </w:r>
      <w:r/>
    </w:p>
    <w:p>
      <w:pPr>
        <w:ind w:left="709" w:firstLine="0"/>
        <w:jc w:val="both"/>
        <w:spacing w:after="0" w:line="240" w:lineRule="auto"/>
        <w:tabs>
          <w:tab w:val="left" w:pos="-2977" w:leader="none"/>
          <w:tab w:val="left" w:pos="-2268" w:leader="none"/>
        </w:tabs>
        <w:rPr>
          <w:rFonts w:ascii="Times New Roman" w:hAnsi="Times New Roman" w:eastAsia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Недвижимое имущество (квартира 56,80 кв.м.), расположенное по адресу: Ростовская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область, город Ростов-на-Дону, улица Абаканская, дом 20, квартира 20, кадастровый номер: 61:44:0022009:54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709" w:firstLine="0"/>
        <w:jc w:val="both"/>
        <w:spacing w:after="0" w:line="240" w:lineRule="auto"/>
        <w:tabs>
          <w:tab w:val="left" w:pos="-2977" w:leader="none"/>
          <w:tab w:val="left" w:pos="-2268" w:leader="none"/>
        </w:tabs>
        <w:rPr>
          <w:rFonts w:ascii="Times New Roman" w:hAnsi="Times New Roman" w:eastAsia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Начальная цена: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4 613 000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рублей.</w:t>
      </w:r>
      <w:r>
        <w:rPr>
          <w:highlight w:val="none"/>
        </w:rPr>
      </w:r>
    </w:p>
    <w:p>
      <w:pPr>
        <w:pStyle w:val="876"/>
        <w:ind w:firstLine="0"/>
        <w:jc w:val="both"/>
        <w:spacing w:after="0" w:line="240" w:lineRule="auto"/>
        <w:rPr>
          <w:b/>
          <w:sz w:val="24"/>
        </w:rPr>
      </w:pPr>
      <w:r>
        <w:rPr>
          <w:b/>
          <w:sz w:val="24"/>
        </w:rPr>
      </w:r>
      <w:r/>
    </w:p>
    <w:p>
      <w:pPr>
        <w:pStyle w:val="876"/>
        <w:jc w:val="center"/>
        <w:spacing w:after="0" w:line="240" w:lineRule="auto"/>
        <w:tabs>
          <w:tab w:val="left" w:pos="360" w:leader="none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2.</w:t>
        <w:tab/>
        <w:t xml:space="preserve">Обязанности сторон</w:t>
      </w:r>
      <w:r>
        <w:rPr>
          <w:sz w:val="24"/>
          <w:szCs w:val="24"/>
        </w:rPr>
      </w:r>
      <w:r/>
    </w:p>
    <w:p>
      <w:pPr>
        <w:pStyle w:val="876"/>
        <w:ind w:firstLine="709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>
        <w:rPr>
          <w:b/>
          <w:bCs/>
          <w:sz w:val="24"/>
          <w:szCs w:val="24"/>
        </w:rPr>
        <w:t xml:space="preserve">Заявитель </w:t>
      </w:r>
      <w:r>
        <w:rPr>
          <w:bCs/>
          <w:sz w:val="24"/>
          <w:szCs w:val="24"/>
        </w:rPr>
        <w:t xml:space="preserve">обязан перечислить указанную в п. 1.1 сумму задатка </w:t>
      </w:r>
      <w:r>
        <w:rPr>
          <w:sz w:val="24"/>
          <w:szCs w:val="24"/>
        </w:rPr>
        <w:t xml:space="preserve">не позднее даты окончания приема заявок, указанной в Извещении о проведении торгов.</w:t>
      </w:r>
      <w:r/>
    </w:p>
    <w:p>
      <w:pPr>
        <w:pStyle w:val="876"/>
        <w:ind w:firstLine="709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2.2.</w:t>
        <w:tab/>
      </w:r>
      <w:r>
        <w:rPr>
          <w:b/>
          <w:bCs/>
          <w:sz w:val="24"/>
          <w:szCs w:val="24"/>
        </w:rPr>
        <w:t xml:space="preserve">Организатор торгов</w:t>
      </w:r>
      <w:r>
        <w:rPr>
          <w:sz w:val="24"/>
          <w:szCs w:val="24"/>
        </w:rPr>
        <w:t xml:space="preserve"> не вправе распоряжаться денежными средствами, поступившими на счет в качестве </w:t>
      </w:r>
      <w:r>
        <w:rPr>
          <w:b/>
          <w:bCs/>
          <w:sz w:val="24"/>
          <w:szCs w:val="24"/>
        </w:rPr>
        <w:t xml:space="preserve">Задатка</w:t>
      </w:r>
      <w:r>
        <w:rPr>
          <w:sz w:val="24"/>
          <w:szCs w:val="24"/>
        </w:rPr>
        <w:t xml:space="preserve">.</w:t>
      </w:r>
      <w:r/>
    </w:p>
    <w:p>
      <w:pPr>
        <w:pStyle w:val="876"/>
        <w:ind w:firstLine="709"/>
        <w:jc w:val="both"/>
        <w:spacing w:after="0" w:line="240" w:lineRule="auto"/>
        <w:tabs>
          <w:tab w:val="left" w:pos="420" w:leader="none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2.3.</w:t>
        <w:tab/>
        <w:t xml:space="preserve">На сумму </w:t>
      </w:r>
      <w:r>
        <w:rPr>
          <w:b/>
          <w:sz w:val="24"/>
          <w:szCs w:val="24"/>
        </w:rPr>
        <w:t xml:space="preserve">Задатка</w:t>
      </w:r>
      <w:r>
        <w:rPr>
          <w:sz w:val="24"/>
          <w:szCs w:val="24"/>
        </w:rPr>
        <w:t xml:space="preserve">, проценты не начисляются.</w:t>
      </w:r>
      <w:r>
        <w:rPr>
          <w:b/>
          <w:sz w:val="24"/>
          <w:szCs w:val="24"/>
        </w:rPr>
      </w:r>
      <w:r/>
    </w:p>
    <w:p>
      <w:pPr>
        <w:pStyle w:val="876"/>
        <w:jc w:val="center"/>
        <w:spacing w:after="0" w:line="240" w:lineRule="auto"/>
        <w:tabs>
          <w:tab w:val="left" w:pos="36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pStyle w:val="876"/>
        <w:jc w:val="center"/>
        <w:spacing w:after="0" w:line="240" w:lineRule="auto"/>
        <w:tabs>
          <w:tab w:val="left" w:pos="360" w:leader="none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3.</w:t>
        <w:tab/>
        <w:t xml:space="preserve">Порядок возврата и удержания Задатка</w:t>
      </w:r>
      <w:r>
        <w:rPr>
          <w:sz w:val="24"/>
          <w:szCs w:val="24"/>
        </w:rPr>
      </w:r>
      <w:r/>
    </w:p>
    <w:p>
      <w:pPr>
        <w:ind w:firstLine="709"/>
        <w:jc w:val="both"/>
        <w:spacing w:after="0" w:line="240" w:lineRule="auto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3.1. </w:t>
      </w:r>
      <w:r>
        <w:rPr>
          <w:b/>
          <w:bCs/>
          <w:sz w:val="24"/>
          <w:szCs w:val="24"/>
        </w:rPr>
        <w:t xml:space="preserve">Задаток </w:t>
      </w:r>
      <w:r>
        <w:rPr>
          <w:sz w:val="24"/>
          <w:szCs w:val="24"/>
        </w:rPr>
        <w:t xml:space="preserve">возвращается в случаях если </w:t>
      </w:r>
      <w:r>
        <w:rPr>
          <w:b/>
          <w:bCs/>
          <w:sz w:val="24"/>
          <w:szCs w:val="24"/>
        </w:rPr>
        <w:t xml:space="preserve">Заявитель</w:t>
      </w:r>
      <w:r>
        <w:rPr>
          <w:sz w:val="24"/>
          <w:szCs w:val="24"/>
        </w:rPr>
        <w:t xml:space="preserve"> не будет допущен к участию в торгах, участвовал в торгах, но не выиграл их, в случае отзыва заявки, отмены торгов и в сроки не превышающ</w:t>
      </w:r>
      <w:r>
        <w:rPr>
          <w:sz w:val="24"/>
          <w:szCs w:val="24"/>
        </w:rPr>
        <w:t xml:space="preserve">ие </w:t>
      </w:r>
      <w:r>
        <w:rPr>
          <w:sz w:val="24"/>
          <w:szCs w:val="24"/>
        </w:rPr>
        <w:t xml:space="preserve">пять рабочих дней со дня подписания протокола о результатах проведения торгов.</w:t>
      </w:r>
      <w:r>
        <w:rPr>
          <w:sz w:val="24"/>
          <w:szCs w:val="24"/>
        </w:rPr>
      </w:r>
      <w:r/>
    </w:p>
    <w:p>
      <w:pPr>
        <w:pStyle w:val="876"/>
        <w:ind w:firstLine="709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3.2. Внесенный </w:t>
      </w:r>
      <w:r>
        <w:rPr>
          <w:b/>
          <w:bCs/>
          <w:sz w:val="24"/>
          <w:szCs w:val="24"/>
        </w:rPr>
        <w:t xml:space="preserve">Задаток</w:t>
      </w:r>
      <w:r>
        <w:rPr>
          <w:sz w:val="24"/>
          <w:szCs w:val="24"/>
        </w:rPr>
        <w:t xml:space="preserve"> не возвращается лицу, признанному выигравшим торги, если оно уклонится от подписания Протокола о результатах торгов или Догов</w:t>
      </w:r>
      <w:r>
        <w:rPr>
          <w:sz w:val="24"/>
          <w:szCs w:val="24"/>
        </w:rPr>
        <w:t xml:space="preserve">ора купли-продажи имущества, </w:t>
      </w:r>
      <w:r>
        <w:rPr>
          <w:sz w:val="24"/>
          <w:szCs w:val="24"/>
        </w:rPr>
        <w:t xml:space="preserve">либо уклонится от оплаты продаваемого на торгах </w:t>
      </w:r>
      <w:r>
        <w:rPr>
          <w:b/>
          <w:bCs/>
          <w:sz w:val="24"/>
          <w:szCs w:val="24"/>
        </w:rPr>
        <w:t xml:space="preserve">Имущества</w:t>
      </w:r>
      <w:r>
        <w:rPr>
          <w:sz w:val="24"/>
          <w:szCs w:val="24"/>
        </w:rPr>
        <w:t xml:space="preserve"> в установленный срок.</w:t>
      </w:r>
      <w:r/>
    </w:p>
    <w:p>
      <w:pPr>
        <w:pStyle w:val="876"/>
        <w:ind w:firstLine="709"/>
        <w:jc w:val="both"/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3.3. Внесенный </w:t>
      </w:r>
      <w:r>
        <w:rPr>
          <w:b/>
          <w:bCs/>
          <w:sz w:val="24"/>
          <w:szCs w:val="24"/>
        </w:rPr>
        <w:t xml:space="preserve">Заявителем Задаток</w:t>
      </w:r>
      <w:r>
        <w:rPr>
          <w:sz w:val="24"/>
          <w:szCs w:val="24"/>
        </w:rPr>
        <w:t xml:space="preserve"> засчитывается в счет оплаты приобретаемого на торгах </w:t>
      </w:r>
      <w:r>
        <w:rPr>
          <w:b/>
          <w:bCs/>
          <w:sz w:val="24"/>
          <w:szCs w:val="24"/>
        </w:rPr>
        <w:t xml:space="preserve">Имущества.</w:t>
      </w:r>
      <w:r>
        <w:rPr>
          <w:b/>
          <w:sz w:val="24"/>
          <w:szCs w:val="24"/>
        </w:rPr>
      </w:r>
      <w:r/>
    </w:p>
    <w:p>
      <w:pPr>
        <w:pStyle w:val="876"/>
        <w:jc w:val="center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pStyle w:val="876"/>
        <w:jc w:val="center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4. Срок действия Договора</w:t>
      </w:r>
      <w:r>
        <w:rPr>
          <w:sz w:val="24"/>
          <w:szCs w:val="24"/>
        </w:rPr>
      </w:r>
      <w:r/>
    </w:p>
    <w:p>
      <w:pPr>
        <w:pStyle w:val="876"/>
        <w:ind w:firstLine="709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4.1. Настоящий Договор вступает в силу с момента его подписания </w:t>
      </w:r>
      <w:r>
        <w:rPr>
          <w:b/>
          <w:bCs/>
          <w:sz w:val="24"/>
          <w:szCs w:val="24"/>
        </w:rPr>
        <w:t xml:space="preserve">Сторонами.</w:t>
      </w:r>
      <w:r>
        <w:rPr>
          <w:sz w:val="24"/>
          <w:szCs w:val="24"/>
        </w:rPr>
        <w:t xml:space="preserve"> </w:t>
      </w:r>
      <w:r/>
    </w:p>
    <w:p>
      <w:pPr>
        <w:pStyle w:val="876"/>
        <w:ind w:firstLine="709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4.2. Споры, связанные с исполнением настоящего Договора, разрешаются </w:t>
      </w:r>
      <w:r>
        <w:rPr>
          <w:b/>
          <w:bCs/>
          <w:sz w:val="24"/>
          <w:szCs w:val="24"/>
        </w:rPr>
        <w:t xml:space="preserve">Сторонами</w:t>
      </w:r>
      <w:r>
        <w:rPr>
          <w:sz w:val="24"/>
          <w:szCs w:val="24"/>
        </w:rPr>
        <w:t xml:space="preserve"> путем переговоров, а в случае не достижения согласия рассматриваются в суде.</w:t>
      </w:r>
      <w:r/>
    </w:p>
    <w:p>
      <w:pPr>
        <w:pStyle w:val="876"/>
        <w:ind w:firstLine="709"/>
        <w:jc w:val="both"/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4.3. Настоящий Договор составлен в двух экземплярах, имеющих одинаковую юридическую силу, по одному для каждой из </w:t>
      </w:r>
      <w:r>
        <w:rPr>
          <w:b/>
          <w:bCs/>
          <w:sz w:val="24"/>
          <w:szCs w:val="24"/>
        </w:rPr>
        <w:t xml:space="preserve">Сторон.</w:t>
      </w:r>
      <w:r>
        <w:rPr>
          <w:b/>
          <w:sz w:val="24"/>
          <w:szCs w:val="24"/>
        </w:rPr>
      </w:r>
      <w:r/>
    </w:p>
    <w:p>
      <w:pPr>
        <w:pStyle w:val="876"/>
        <w:jc w:val="center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pStyle w:val="876"/>
        <w:jc w:val="center"/>
        <w:spacing w:after="0" w:line="240" w:lineRule="auto"/>
        <w:rPr>
          <w:szCs w:val="24"/>
        </w:rPr>
      </w:pPr>
      <w:r>
        <w:rPr>
          <w:b/>
          <w:sz w:val="24"/>
          <w:szCs w:val="24"/>
        </w:rPr>
        <w:t xml:space="preserve">5. Адреса и банковские реквизиты Сторон</w:t>
      </w:r>
      <w:r>
        <w:rPr>
          <w:szCs w:val="24"/>
        </w:rPr>
      </w:r>
      <w:r/>
    </w:p>
    <w:p>
      <w:pPr>
        <w:pStyle w:val="877"/>
        <w:rPr>
          <w:szCs w:val="24"/>
        </w:rPr>
      </w:pPr>
      <w:r>
        <w:rPr>
          <w:szCs w:val="24"/>
        </w:rPr>
        <w:t xml:space="preserve">Организатор торгов:</w:t>
      </w:r>
      <w:r/>
    </w:p>
    <w:p>
      <w:pPr>
        <w:pStyle w:val="876"/>
        <w:jc w:val="both"/>
        <w:spacing w:after="0" w:line="240" w:lineRule="auto"/>
        <w:tabs>
          <w:tab w:val="left" w:pos="-4680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Финансовый </w:t>
      </w:r>
      <w:r>
        <w:rPr>
          <w:bCs/>
          <w:sz w:val="24"/>
          <w:szCs w:val="24"/>
        </w:rPr>
        <w:t xml:space="preserve">управляющий </w:t>
      </w:r>
      <w:r>
        <w:rPr>
          <w:bCs/>
          <w:sz w:val="24"/>
          <w:szCs w:val="24"/>
        </w:rPr>
        <w:t xml:space="preserve">гр. Пищалова В.В.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</w:r>
      <w:r/>
    </w:p>
    <w:p>
      <w:pPr>
        <w:pStyle w:val="876"/>
        <w:jc w:val="both"/>
        <w:spacing w:after="0" w:line="240" w:lineRule="auto"/>
        <w:tabs>
          <w:tab w:val="left" w:pos="-4680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Гвоздкова Наталья Владимировна</w:t>
      </w:r>
      <w:r/>
    </w:p>
    <w:p>
      <w:pPr>
        <w:pStyle w:val="876"/>
        <w:jc w:val="both"/>
        <w:spacing w:after="0" w:line="240" w:lineRule="auto"/>
        <w:tabs>
          <w:tab w:val="left" w:pos="-4680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А</w:t>
      </w:r>
      <w:r>
        <w:rPr>
          <w:bCs/>
          <w:sz w:val="24"/>
          <w:szCs w:val="24"/>
        </w:rPr>
        <w:t xml:space="preserve">дрес</w:t>
      </w:r>
      <w:r>
        <w:rPr>
          <w:bCs/>
          <w:sz w:val="24"/>
          <w:szCs w:val="24"/>
        </w:rPr>
        <w:t xml:space="preserve"> для корреспонденции</w:t>
      </w:r>
      <w:r>
        <w:rPr>
          <w:bCs/>
          <w:sz w:val="24"/>
          <w:szCs w:val="24"/>
        </w:rPr>
        <w:t xml:space="preserve">: 6440</w:t>
      </w:r>
      <w:r>
        <w:rPr>
          <w:bCs/>
          <w:sz w:val="24"/>
          <w:szCs w:val="24"/>
        </w:rPr>
        <w:t xml:space="preserve">43, г.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Омск, а/я 3732</w:t>
      </w:r>
      <w:r>
        <w:rPr>
          <w:bCs/>
          <w:sz w:val="24"/>
          <w:szCs w:val="24"/>
        </w:rPr>
      </w:r>
      <w:r/>
    </w:p>
    <w:p>
      <w:pPr>
        <w:pStyle w:val="876"/>
        <w:jc w:val="both"/>
        <w:spacing w:after="0" w:line="240" w:lineRule="auto"/>
        <w:tabs>
          <w:tab w:val="left" w:pos="-4680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  <w:r/>
    </w:p>
    <w:p>
      <w:pPr>
        <w:pStyle w:val="876"/>
        <w:spacing w:after="0" w:line="240" w:lineRule="auto"/>
        <w:rPr>
          <w:bCs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расчетный счет</w:t>
      </w:r>
      <w:r>
        <w:rPr>
          <w:b/>
          <w:sz w:val="24"/>
          <w:szCs w:val="24"/>
        </w:rPr>
        <w:t xml:space="preserve">:</w:t>
      </w:r>
      <w:r>
        <w:rPr>
          <w:sz w:val="24"/>
          <w:szCs w:val="24"/>
          <w14:ligatures w14:val="none"/>
        </w:rPr>
        <w:t xml:space="preserve"> 40817810950230532015</w:t>
      </w:r>
      <w:r>
        <w:rPr>
          <w:b/>
          <w:sz w:val="24"/>
          <w:szCs w:val="24"/>
        </w:rPr>
      </w:r>
      <w:r>
        <w:rPr>
          <w:bCs/>
          <w:sz w:val="24"/>
          <w:szCs w:val="24"/>
        </w:rPr>
      </w:r>
      <w:r/>
    </w:p>
    <w:p>
      <w:pPr>
        <w:jc w:val="both"/>
        <w:spacing w:after="0" w:line="240" w:lineRule="auto"/>
        <w:tabs>
          <w:tab w:val="left" w:pos="-4680" w:leader="none"/>
        </w:tabs>
      </w:pPr>
      <w:r>
        <w:rPr>
          <w:sz w:val="24"/>
          <w:szCs w:val="24"/>
          <w14:ligatures w14:val="none"/>
        </w:rPr>
        <w:t xml:space="preserve">Получатель: Пищалова Екатерина Валерьевна</w:t>
      </w:r>
      <w:r/>
    </w:p>
    <w:p>
      <w:pPr>
        <w:jc w:val="both"/>
        <w:spacing w:after="0" w:line="240" w:lineRule="auto"/>
        <w:tabs>
          <w:tab w:val="left" w:pos="-4680" w:leader="none"/>
        </w:tabs>
      </w:pPr>
      <w:r>
        <w:rPr>
          <w:sz w:val="24"/>
          <w:szCs w:val="24"/>
          <w14:ligatures w14:val="none"/>
        </w:rPr>
        <w:t xml:space="preserve">Банк: ФИЛИАЛ "ЦЕНТРАЛЬНЫЙ" ПАО "СОВКОМБАНК" (633011, РОССИЙСКАЯ ФЕДЕРАЦИЯ, НОВОСИБИРСКАЯ ОБЛ, БЕРДСК Г, ПОПОВА УЛ, 11; телефон: 8-800-100-00-06)</w:t>
      </w:r>
      <w:r/>
    </w:p>
    <w:p>
      <w:pPr>
        <w:jc w:val="both"/>
        <w:spacing w:after="0" w:line="240" w:lineRule="auto"/>
        <w:tabs>
          <w:tab w:val="left" w:pos="-4680" w:leader="none"/>
        </w:tabs>
      </w:pPr>
      <w:r>
        <w:rPr>
          <w:sz w:val="24"/>
          <w:szCs w:val="24"/>
          <w14:ligatures w14:val="none"/>
        </w:rPr>
        <w:t xml:space="preserve">к/с 30101810150040000763</w:t>
      </w:r>
      <w:r/>
    </w:p>
    <w:p>
      <w:pPr>
        <w:jc w:val="both"/>
        <w:spacing w:after="0" w:line="240" w:lineRule="auto"/>
        <w:tabs>
          <w:tab w:val="left" w:pos="-4680" w:leader="none"/>
        </w:tabs>
      </w:pPr>
      <w:r>
        <w:rPr>
          <w:sz w:val="24"/>
          <w:szCs w:val="24"/>
          <w14:ligatures w14:val="none"/>
        </w:rPr>
        <w:t xml:space="preserve">БИК 045004763</w:t>
      </w:r>
      <w:r/>
    </w:p>
    <w:p>
      <w:pPr>
        <w:jc w:val="both"/>
        <w:spacing w:after="0" w:line="240" w:lineRule="auto"/>
        <w:tabs>
          <w:tab w:val="left" w:pos="-4680" w:leader="none"/>
        </w:tabs>
      </w:pPr>
      <w:r>
        <w:rPr>
          <w:sz w:val="24"/>
          <w:szCs w:val="24"/>
          <w14:ligatures w14:val="none"/>
        </w:rPr>
        <w:t xml:space="preserve">ИНН БАНКА 4401116480</w:t>
      </w:r>
      <w:r/>
    </w:p>
    <w:p>
      <w:pPr>
        <w:jc w:val="both"/>
        <w:spacing w:after="0" w:line="240" w:lineRule="auto"/>
        <w:tabs>
          <w:tab w:val="left" w:pos="-4680" w:leader="none"/>
        </w:tabs>
      </w:pPr>
      <w:r>
        <w:rPr>
          <w:sz w:val="24"/>
          <w:szCs w:val="24"/>
          <w14:ligatures w14:val="none"/>
        </w:rPr>
        <w:t xml:space="preserve">КПП БАНКА 544543001</w:t>
      </w:r>
      <w:r/>
    </w:p>
    <w:p>
      <w:pPr>
        <w:jc w:val="both"/>
        <w:spacing w:after="0" w:line="240" w:lineRule="auto"/>
        <w:tabs>
          <w:tab w:val="left" w:pos="-4680" w:leader="none"/>
        </w:tabs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t xml:space="preserve">ОГРН БАНКА ОГРН 1144400000425</w:t>
      </w:r>
      <w:r/>
      <w:r>
        <w:rPr>
          <w:sz w:val="24"/>
          <w:szCs w:val="24"/>
          <w14:ligatures w14:val="none"/>
        </w:rPr>
      </w:r>
      <w:r/>
    </w:p>
    <w:p>
      <w:pPr>
        <w:pStyle w:val="876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876"/>
        <w:jc w:val="both"/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Заявитель:</w:t>
      </w:r>
      <w:r>
        <w:rPr>
          <w:sz w:val="24"/>
          <w:szCs w:val="24"/>
        </w:rPr>
      </w:r>
      <w:r/>
    </w:p>
    <w:p>
      <w:pPr>
        <w:pStyle w:val="876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Адрес: ______________________________</w:t>
      </w:r>
      <w:r/>
    </w:p>
    <w:p>
      <w:pPr>
        <w:pStyle w:val="876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Р/с _________________________________</w:t>
      </w:r>
      <w:r/>
    </w:p>
    <w:p>
      <w:pPr>
        <w:pStyle w:val="876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БИК ________________________________</w:t>
      </w:r>
      <w:r/>
    </w:p>
    <w:p>
      <w:pPr>
        <w:pStyle w:val="876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К/с _________________________________</w:t>
      </w:r>
      <w:r/>
    </w:p>
    <w:p>
      <w:pPr>
        <w:pStyle w:val="876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ИНН _______________________________</w:t>
      </w:r>
      <w:r/>
    </w:p>
    <w:p>
      <w:pPr>
        <w:pStyle w:val="876"/>
        <w:jc w:val="both"/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ОГРН(ИП) __________________________</w:t>
      </w:r>
      <w:r>
        <w:rPr>
          <w:b/>
          <w:sz w:val="24"/>
          <w:szCs w:val="24"/>
        </w:rPr>
      </w:r>
      <w:r/>
    </w:p>
    <w:p>
      <w:pPr>
        <w:pStyle w:val="876"/>
        <w:jc w:val="both"/>
        <w:spacing w:after="0" w:line="240" w:lineRule="auto"/>
        <w:tabs>
          <w:tab w:val="left" w:pos="-4680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  <w:r/>
    </w:p>
    <w:p>
      <w:pPr>
        <w:pStyle w:val="876"/>
        <w:jc w:val="both"/>
        <w:spacing w:after="0" w:line="240" w:lineRule="auto"/>
        <w:tabs>
          <w:tab w:val="left" w:pos="-4680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  <w:r/>
    </w:p>
    <w:p>
      <w:pPr>
        <w:pStyle w:val="876"/>
        <w:jc w:val="center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pStyle w:val="876"/>
        <w:jc w:val="both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Организатор торгов:                                                 Заявитель:</w:t>
      </w:r>
      <w:r/>
    </w:p>
    <w:p>
      <w:pPr>
        <w:pStyle w:val="876"/>
        <w:jc w:val="both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pStyle w:val="876"/>
        <w:jc w:val="center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876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 /Гвоздкова Н.В/</w:t>
        <w:tab/>
        <w:t xml:space="preserve">                          __</w:t>
      </w:r>
      <w:r>
        <w:rPr>
          <w:sz w:val="24"/>
          <w:szCs w:val="24"/>
        </w:rPr>
        <w:t xml:space="preserve">_____________ /_______________/</w:t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077" w:right="748" w:bottom="776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ymbol">
    <w:panose1 w:val="05050102010706020507"/>
  </w:font>
  <w:font w:name="Wingdings">
    <w:panose1 w:val="05000000000000000000"/>
  </w:font>
  <w:font w:name="Mangal">
    <w:panose1 w:val="0204050305040603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77"/>
      <w:isLgl w:val="false"/>
      <w:suff w:val="nothing"/>
      <w:lvlText w:val=""/>
      <w:lvlJc w:val="left"/>
      <w:pPr>
        <w:pStyle w:val="876"/>
        <w:ind w:left="432" w:hanging="432"/>
        <w:tabs>
          <w:tab w:val="num" w:pos="0" w:leader="none"/>
        </w:tabs>
      </w:pPr>
    </w:lvl>
    <w:lvl w:ilvl="1">
      <w:start w:val="1"/>
      <w:numFmt w:val="decimal"/>
      <w:pStyle w:val="878"/>
      <w:isLgl w:val="false"/>
      <w:suff w:val="nothing"/>
      <w:lvlText w:val=""/>
      <w:lvlJc w:val="left"/>
      <w:pPr>
        <w:pStyle w:val="876"/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876"/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876"/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76"/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76"/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876"/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76"/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76"/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76"/>
        <w:ind w:left="720" w:hanging="360"/>
        <w:tabs>
          <w:tab w:val="num" w:pos="0" w:leader="none"/>
        </w:tabs>
      </w:pPr>
      <w:rPr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pStyle w:val="876"/>
        <w:ind w:left="1834" w:hanging="1125"/>
        <w:tabs>
          <w:tab w:val="num" w:pos="1834" w:leader="none"/>
        </w:tabs>
      </w:pPr>
      <w:rPr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876"/>
        <w:ind w:left="2183" w:hanging="1125"/>
        <w:tabs>
          <w:tab w:val="num" w:pos="2183" w:leader="none"/>
        </w:tabs>
      </w:pPr>
      <w:rPr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pStyle w:val="876"/>
        <w:ind w:left="2532" w:hanging="1125"/>
        <w:tabs>
          <w:tab w:val="num" w:pos="2532" w:leader="none"/>
        </w:tabs>
      </w:pPr>
      <w:rPr>
        <w:sz w:val="24"/>
        <w:szCs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pStyle w:val="876"/>
        <w:ind w:left="2881" w:hanging="1125"/>
        <w:tabs>
          <w:tab w:val="num" w:pos="2881" w:leader="none"/>
        </w:tabs>
      </w:pPr>
      <w:rPr>
        <w:sz w:val="24"/>
        <w:szCs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pStyle w:val="876"/>
        <w:ind w:left="3230" w:hanging="1125"/>
        <w:tabs>
          <w:tab w:val="num" w:pos="3230" w:leader="none"/>
        </w:tabs>
      </w:pPr>
      <w:rPr>
        <w:sz w:val="24"/>
        <w:szCs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pStyle w:val="876"/>
        <w:ind w:left="3894" w:hanging="1440"/>
        <w:tabs>
          <w:tab w:val="num" w:pos="3894" w:leader="none"/>
        </w:tabs>
      </w:pPr>
      <w:rPr>
        <w:sz w:val="24"/>
        <w:szCs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876"/>
        <w:ind w:left="4243" w:hanging="1440"/>
        <w:tabs>
          <w:tab w:val="num" w:pos="4243" w:leader="none"/>
        </w:tabs>
      </w:pPr>
      <w:rPr>
        <w:sz w:val="24"/>
        <w:szCs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876"/>
        <w:ind w:left="4952" w:hanging="1800"/>
        <w:tabs>
          <w:tab w:val="num" w:pos="4952" w:leader="none"/>
        </w:tabs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8">
    <w:name w:val="Heading 1"/>
    <w:basedOn w:val="876"/>
    <w:next w:val="876"/>
    <w:link w:val="69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9">
    <w:name w:val="Heading 1 Char"/>
    <w:link w:val="698"/>
    <w:uiPriority w:val="9"/>
    <w:rPr>
      <w:rFonts w:ascii="Arial" w:hAnsi="Arial" w:eastAsia="Arial" w:cs="Arial"/>
      <w:sz w:val="40"/>
      <w:szCs w:val="40"/>
    </w:rPr>
  </w:style>
  <w:style w:type="paragraph" w:styleId="700">
    <w:name w:val="Heading 2"/>
    <w:basedOn w:val="876"/>
    <w:next w:val="876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1">
    <w:name w:val="Heading 2 Char"/>
    <w:link w:val="700"/>
    <w:uiPriority w:val="9"/>
    <w:rPr>
      <w:rFonts w:ascii="Arial" w:hAnsi="Arial" w:eastAsia="Arial" w:cs="Arial"/>
      <w:sz w:val="34"/>
    </w:rPr>
  </w:style>
  <w:style w:type="paragraph" w:styleId="702">
    <w:name w:val="Heading 3"/>
    <w:basedOn w:val="876"/>
    <w:next w:val="876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3">
    <w:name w:val="Heading 3 Char"/>
    <w:link w:val="702"/>
    <w:uiPriority w:val="9"/>
    <w:rPr>
      <w:rFonts w:ascii="Arial" w:hAnsi="Arial" w:eastAsia="Arial" w:cs="Arial"/>
      <w:sz w:val="30"/>
      <w:szCs w:val="30"/>
    </w:rPr>
  </w:style>
  <w:style w:type="paragraph" w:styleId="704">
    <w:name w:val="Heading 4"/>
    <w:basedOn w:val="876"/>
    <w:next w:val="876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5">
    <w:name w:val="Heading 4 Char"/>
    <w:link w:val="704"/>
    <w:uiPriority w:val="9"/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876"/>
    <w:next w:val="876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7">
    <w:name w:val="Heading 5 Char"/>
    <w:link w:val="706"/>
    <w:uiPriority w:val="9"/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876"/>
    <w:next w:val="876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9">
    <w:name w:val="Heading 6 Char"/>
    <w:link w:val="708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6"/>
    <w:next w:val="876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6"/>
    <w:next w:val="876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6"/>
    <w:next w:val="876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List Paragraph"/>
    <w:basedOn w:val="876"/>
    <w:uiPriority w:val="34"/>
    <w:qFormat/>
    <w:pPr>
      <w:contextualSpacing/>
      <w:ind w:left="720"/>
    </w:pPr>
  </w:style>
  <w:style w:type="paragraph" w:styleId="717">
    <w:name w:val="No Spacing"/>
    <w:uiPriority w:val="1"/>
    <w:qFormat/>
    <w:pPr>
      <w:spacing w:before="0" w:after="0" w:line="240" w:lineRule="auto"/>
    </w:pPr>
  </w:style>
  <w:style w:type="paragraph" w:styleId="718">
    <w:name w:val="Title"/>
    <w:basedOn w:val="876"/>
    <w:next w:val="876"/>
    <w:link w:val="71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9">
    <w:name w:val="Title Char"/>
    <w:link w:val="718"/>
    <w:uiPriority w:val="10"/>
    <w:rPr>
      <w:sz w:val="48"/>
      <w:szCs w:val="48"/>
    </w:rPr>
  </w:style>
  <w:style w:type="paragraph" w:styleId="720">
    <w:name w:val="Subtitle"/>
    <w:basedOn w:val="876"/>
    <w:next w:val="876"/>
    <w:link w:val="721"/>
    <w:uiPriority w:val="11"/>
    <w:qFormat/>
    <w:pPr>
      <w:spacing w:before="200" w:after="200"/>
    </w:pPr>
    <w:rPr>
      <w:sz w:val="24"/>
      <w:szCs w:val="24"/>
    </w:rPr>
  </w:style>
  <w:style w:type="character" w:styleId="721">
    <w:name w:val="Subtitle Char"/>
    <w:link w:val="720"/>
    <w:uiPriority w:val="11"/>
    <w:rPr>
      <w:sz w:val="24"/>
      <w:szCs w:val="24"/>
    </w:rPr>
  </w:style>
  <w:style w:type="paragraph" w:styleId="722">
    <w:name w:val="Quote"/>
    <w:basedOn w:val="876"/>
    <w:next w:val="876"/>
    <w:link w:val="723"/>
    <w:uiPriority w:val="29"/>
    <w:qFormat/>
    <w:pPr>
      <w:ind w:left="720" w:right="720"/>
    </w:pPr>
    <w:rPr>
      <w:i/>
    </w:rPr>
  </w:style>
  <w:style w:type="character" w:styleId="723">
    <w:name w:val="Quote Char"/>
    <w:link w:val="722"/>
    <w:uiPriority w:val="29"/>
    <w:rPr>
      <w:i/>
    </w:rPr>
  </w:style>
  <w:style w:type="paragraph" w:styleId="724">
    <w:name w:val="Intense Quote"/>
    <w:basedOn w:val="876"/>
    <w:next w:val="876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>
    <w:name w:val="Intense Quote Char"/>
    <w:link w:val="724"/>
    <w:uiPriority w:val="30"/>
    <w:rPr>
      <w:i/>
    </w:rPr>
  </w:style>
  <w:style w:type="paragraph" w:styleId="726">
    <w:name w:val="Header"/>
    <w:basedOn w:val="87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link w:val="726"/>
    <w:uiPriority w:val="99"/>
  </w:style>
  <w:style w:type="paragraph" w:styleId="728">
    <w:name w:val="Footer"/>
    <w:basedOn w:val="876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link w:val="728"/>
    <w:uiPriority w:val="99"/>
  </w:style>
  <w:style w:type="paragraph" w:styleId="730">
    <w:name w:val="Caption"/>
    <w:basedOn w:val="876"/>
    <w:next w:val="87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1">
    <w:name w:val="Caption Char"/>
    <w:basedOn w:val="730"/>
    <w:link w:val="728"/>
    <w:uiPriority w:val="99"/>
  </w:style>
  <w:style w:type="table" w:styleId="73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8">
    <w:name w:val="Hyperlink"/>
    <w:uiPriority w:val="99"/>
    <w:unhideWhenUsed/>
    <w:rPr>
      <w:color w:val="0000ff" w:themeColor="hyperlink"/>
      <w:u w:val="single"/>
    </w:rPr>
  </w:style>
  <w:style w:type="paragraph" w:styleId="859">
    <w:name w:val="footnote text"/>
    <w:basedOn w:val="876"/>
    <w:link w:val="860"/>
    <w:uiPriority w:val="99"/>
    <w:semiHidden/>
    <w:unhideWhenUsed/>
    <w:pPr>
      <w:spacing w:after="40" w:line="240" w:lineRule="auto"/>
    </w:pPr>
    <w:rPr>
      <w:sz w:val="18"/>
    </w:rPr>
  </w:style>
  <w:style w:type="character" w:styleId="860">
    <w:name w:val="Footnote Text Char"/>
    <w:link w:val="859"/>
    <w:uiPriority w:val="99"/>
    <w:rPr>
      <w:sz w:val="18"/>
    </w:rPr>
  </w:style>
  <w:style w:type="character" w:styleId="861">
    <w:name w:val="footnote reference"/>
    <w:uiPriority w:val="99"/>
    <w:unhideWhenUsed/>
    <w:rPr>
      <w:vertAlign w:val="superscript"/>
    </w:rPr>
  </w:style>
  <w:style w:type="paragraph" w:styleId="862">
    <w:name w:val="endnote text"/>
    <w:basedOn w:val="876"/>
    <w:link w:val="863"/>
    <w:uiPriority w:val="99"/>
    <w:semiHidden/>
    <w:unhideWhenUsed/>
    <w:pPr>
      <w:spacing w:after="0" w:line="240" w:lineRule="auto"/>
    </w:pPr>
    <w:rPr>
      <w:sz w:val="20"/>
    </w:rPr>
  </w:style>
  <w:style w:type="character" w:styleId="863">
    <w:name w:val="Endnote Text Char"/>
    <w:link w:val="862"/>
    <w:uiPriority w:val="99"/>
    <w:rPr>
      <w:sz w:val="20"/>
    </w:rPr>
  </w:style>
  <w:style w:type="character" w:styleId="864">
    <w:name w:val="endnote reference"/>
    <w:uiPriority w:val="99"/>
    <w:semiHidden/>
    <w:unhideWhenUsed/>
    <w:rPr>
      <w:vertAlign w:val="superscript"/>
    </w:rPr>
  </w:style>
  <w:style w:type="paragraph" w:styleId="865">
    <w:name w:val="toc 1"/>
    <w:basedOn w:val="876"/>
    <w:next w:val="876"/>
    <w:uiPriority w:val="39"/>
    <w:unhideWhenUsed/>
    <w:pPr>
      <w:ind w:left="0" w:right="0" w:firstLine="0"/>
      <w:spacing w:after="57"/>
    </w:pPr>
  </w:style>
  <w:style w:type="paragraph" w:styleId="866">
    <w:name w:val="toc 2"/>
    <w:basedOn w:val="876"/>
    <w:next w:val="876"/>
    <w:uiPriority w:val="39"/>
    <w:unhideWhenUsed/>
    <w:pPr>
      <w:ind w:left="283" w:right="0" w:firstLine="0"/>
      <w:spacing w:after="57"/>
    </w:pPr>
  </w:style>
  <w:style w:type="paragraph" w:styleId="867">
    <w:name w:val="toc 3"/>
    <w:basedOn w:val="876"/>
    <w:next w:val="876"/>
    <w:uiPriority w:val="39"/>
    <w:unhideWhenUsed/>
    <w:pPr>
      <w:ind w:left="567" w:right="0" w:firstLine="0"/>
      <w:spacing w:after="57"/>
    </w:pPr>
  </w:style>
  <w:style w:type="paragraph" w:styleId="868">
    <w:name w:val="toc 4"/>
    <w:basedOn w:val="876"/>
    <w:next w:val="876"/>
    <w:uiPriority w:val="39"/>
    <w:unhideWhenUsed/>
    <w:pPr>
      <w:ind w:left="850" w:right="0" w:firstLine="0"/>
      <w:spacing w:after="57"/>
    </w:pPr>
  </w:style>
  <w:style w:type="paragraph" w:styleId="869">
    <w:name w:val="toc 5"/>
    <w:basedOn w:val="876"/>
    <w:next w:val="876"/>
    <w:uiPriority w:val="39"/>
    <w:unhideWhenUsed/>
    <w:pPr>
      <w:ind w:left="1134" w:right="0" w:firstLine="0"/>
      <w:spacing w:after="57"/>
    </w:pPr>
  </w:style>
  <w:style w:type="paragraph" w:styleId="870">
    <w:name w:val="toc 6"/>
    <w:basedOn w:val="876"/>
    <w:next w:val="876"/>
    <w:uiPriority w:val="39"/>
    <w:unhideWhenUsed/>
    <w:pPr>
      <w:ind w:left="1417" w:right="0" w:firstLine="0"/>
      <w:spacing w:after="57"/>
    </w:pPr>
  </w:style>
  <w:style w:type="paragraph" w:styleId="871">
    <w:name w:val="toc 7"/>
    <w:basedOn w:val="876"/>
    <w:next w:val="876"/>
    <w:uiPriority w:val="39"/>
    <w:unhideWhenUsed/>
    <w:pPr>
      <w:ind w:left="1701" w:right="0" w:firstLine="0"/>
      <w:spacing w:after="57"/>
    </w:pPr>
  </w:style>
  <w:style w:type="paragraph" w:styleId="872">
    <w:name w:val="toc 8"/>
    <w:basedOn w:val="876"/>
    <w:next w:val="876"/>
    <w:uiPriority w:val="39"/>
    <w:unhideWhenUsed/>
    <w:pPr>
      <w:ind w:left="1984" w:right="0" w:firstLine="0"/>
      <w:spacing w:after="57"/>
    </w:pPr>
  </w:style>
  <w:style w:type="paragraph" w:styleId="873">
    <w:name w:val="toc 9"/>
    <w:basedOn w:val="876"/>
    <w:next w:val="876"/>
    <w:uiPriority w:val="39"/>
    <w:unhideWhenUsed/>
    <w:pPr>
      <w:ind w:left="2268" w:right="0" w:firstLine="0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876"/>
    <w:next w:val="876"/>
    <w:uiPriority w:val="99"/>
    <w:unhideWhenUsed/>
    <w:pPr>
      <w:spacing w:after="0" w:afterAutospacing="0"/>
    </w:pPr>
  </w:style>
  <w:style w:type="paragraph" w:styleId="876" w:default="1">
    <w:name w:val="Normal"/>
    <w:next w:val="876"/>
    <w:link w:val="876"/>
    <w:qFormat/>
    <w:pPr>
      <w:spacing w:after="200" w:line="276" w:lineRule="auto"/>
    </w:pPr>
    <w:rPr>
      <w:sz w:val="22"/>
      <w:szCs w:val="22"/>
      <w:lang w:val="ru-RU" w:eastAsia="ar-SA" w:bidi="ar-SA"/>
    </w:rPr>
  </w:style>
  <w:style w:type="paragraph" w:styleId="877">
    <w:name w:val="Заголовок 1"/>
    <w:basedOn w:val="876"/>
    <w:next w:val="876"/>
    <w:link w:val="876"/>
    <w:qFormat/>
    <w:pPr>
      <w:numPr>
        <w:ilvl w:val="0"/>
        <w:numId w:val="1"/>
      </w:numPr>
      <w:jc w:val="both"/>
      <w:keepNext/>
      <w:spacing w:before="0" w:after="0" w:line="240" w:lineRule="auto"/>
      <w:outlineLvl w:val="0"/>
    </w:pPr>
    <w:rPr>
      <w:rFonts w:ascii="Times New Roman" w:hAnsi="Times New Roman" w:cs="Times New Roman"/>
      <w:b/>
      <w:bCs/>
      <w:sz w:val="24"/>
      <w:szCs w:val="20"/>
    </w:rPr>
  </w:style>
  <w:style w:type="paragraph" w:styleId="878">
    <w:name w:val="Заголовок 2"/>
    <w:basedOn w:val="876"/>
    <w:next w:val="876"/>
    <w:link w:val="876"/>
    <w:qFormat/>
    <w:pPr>
      <w:numPr>
        <w:ilvl w:val="1"/>
        <w:numId w:val="1"/>
      </w:numPr>
      <w:jc w:val="center"/>
      <w:keepNext/>
      <w:spacing w:before="0" w:after="0" w:line="240" w:lineRule="auto"/>
      <w:outlineLvl w:val="1"/>
    </w:pPr>
    <w:rPr>
      <w:rFonts w:ascii="Courier New" w:hAnsi="Courier New" w:cs="Courier New"/>
      <w:b/>
      <w:sz w:val="26"/>
      <w:szCs w:val="26"/>
    </w:rPr>
  </w:style>
  <w:style w:type="character" w:styleId="879">
    <w:name w:val="Основной шрифт абзаца"/>
    <w:next w:val="879"/>
    <w:link w:val="876"/>
    <w:uiPriority w:val="1"/>
    <w:semiHidden/>
    <w:unhideWhenUsed/>
  </w:style>
  <w:style w:type="table" w:styleId="880">
    <w:name w:val="Обычная таблица"/>
    <w:next w:val="880"/>
    <w:link w:val="876"/>
    <w:uiPriority w:val="99"/>
    <w:semiHidden/>
    <w:unhideWhenUsed/>
    <w:tblPr/>
  </w:style>
  <w:style w:type="numbering" w:styleId="881">
    <w:name w:val="Нет списка"/>
    <w:next w:val="881"/>
    <w:link w:val="876"/>
    <w:uiPriority w:val="99"/>
    <w:semiHidden/>
    <w:unhideWhenUsed/>
  </w:style>
  <w:style w:type="character" w:styleId="882">
    <w:name w:val="WW8Num1z0"/>
    <w:next w:val="882"/>
    <w:link w:val="876"/>
  </w:style>
  <w:style w:type="character" w:styleId="883">
    <w:name w:val="WW8Num1z1"/>
    <w:next w:val="883"/>
    <w:link w:val="876"/>
  </w:style>
  <w:style w:type="character" w:styleId="884">
    <w:name w:val="WW8Num1z2"/>
    <w:next w:val="884"/>
    <w:link w:val="876"/>
  </w:style>
  <w:style w:type="character" w:styleId="885">
    <w:name w:val="WW8Num1z3"/>
    <w:next w:val="885"/>
    <w:link w:val="876"/>
  </w:style>
  <w:style w:type="character" w:styleId="886">
    <w:name w:val="WW8Num1z4"/>
    <w:next w:val="886"/>
    <w:link w:val="876"/>
  </w:style>
  <w:style w:type="character" w:styleId="887">
    <w:name w:val="WW8Num1z5"/>
    <w:next w:val="887"/>
    <w:link w:val="876"/>
  </w:style>
  <w:style w:type="character" w:styleId="888">
    <w:name w:val="WW8Num1z6"/>
    <w:next w:val="888"/>
    <w:link w:val="876"/>
  </w:style>
  <w:style w:type="character" w:styleId="889">
    <w:name w:val="WW8Num1z7"/>
    <w:next w:val="889"/>
    <w:link w:val="876"/>
  </w:style>
  <w:style w:type="character" w:styleId="890">
    <w:name w:val="WW8Num1z8"/>
    <w:next w:val="890"/>
    <w:link w:val="876"/>
  </w:style>
  <w:style w:type="character" w:styleId="891">
    <w:name w:val="WW8Num2z0"/>
    <w:next w:val="891"/>
    <w:link w:val="876"/>
    <w:rPr>
      <w:sz w:val="24"/>
      <w:szCs w:val="24"/>
    </w:rPr>
  </w:style>
  <w:style w:type="character" w:styleId="892">
    <w:name w:val="WW8Num3z0"/>
    <w:next w:val="892"/>
    <w:link w:val="876"/>
    <w:rPr>
      <w:b w:val="0"/>
      <w:i w:val="0"/>
      <w:sz w:val="24"/>
    </w:rPr>
  </w:style>
  <w:style w:type="character" w:styleId="893">
    <w:name w:val="WW8Num4z0"/>
    <w:next w:val="893"/>
    <w:link w:val="876"/>
    <w:rPr>
      <w:rFonts w:ascii="Courier New" w:hAnsi="Courier New" w:cs="Courier New"/>
    </w:rPr>
  </w:style>
  <w:style w:type="character" w:styleId="894">
    <w:name w:val="WW8Num4z2"/>
    <w:next w:val="894"/>
    <w:link w:val="876"/>
    <w:rPr>
      <w:rFonts w:ascii="Wingdings" w:hAnsi="Wingdings" w:cs="Wingdings"/>
    </w:rPr>
  </w:style>
  <w:style w:type="character" w:styleId="895">
    <w:name w:val="WW8Num4z3"/>
    <w:next w:val="895"/>
    <w:link w:val="876"/>
    <w:rPr>
      <w:rFonts w:ascii="Symbol" w:hAnsi="Symbol" w:cs="Symbol"/>
    </w:rPr>
  </w:style>
  <w:style w:type="character" w:styleId="896">
    <w:name w:val="Основной шрифт абзаца1"/>
    <w:next w:val="896"/>
    <w:link w:val="876"/>
  </w:style>
  <w:style w:type="character" w:styleId="897">
    <w:name w:val="Заголовок 1 Знак"/>
    <w:next w:val="897"/>
    <w:link w:val="876"/>
    <w:rPr>
      <w:rFonts w:ascii="Times New Roman" w:hAnsi="Times New Roman" w:cs="Times New Roman"/>
      <w:b/>
      <w:bCs/>
      <w:sz w:val="24"/>
    </w:rPr>
  </w:style>
  <w:style w:type="character" w:styleId="898">
    <w:name w:val="Название Знак"/>
    <w:next w:val="898"/>
    <w:link w:val="876"/>
    <w:rPr>
      <w:rFonts w:ascii="Times New Roman" w:hAnsi="Times New Roman" w:cs="Times New Roman"/>
      <w:b/>
      <w:bCs/>
      <w:sz w:val="24"/>
    </w:rPr>
  </w:style>
  <w:style w:type="character" w:styleId="899">
    <w:name w:val="Основной текст с отступом Знак"/>
    <w:next w:val="899"/>
    <w:link w:val="876"/>
    <w:rPr>
      <w:rFonts w:ascii="Times New Roman" w:hAnsi="Times New Roman" w:cs="Times New Roman"/>
      <w:sz w:val="24"/>
    </w:rPr>
  </w:style>
  <w:style w:type="character" w:styleId="900">
    <w:name w:val="Заголовок 2 Знак"/>
    <w:next w:val="900"/>
    <w:link w:val="876"/>
    <w:rPr>
      <w:rFonts w:ascii="Courier New" w:hAnsi="Courier New" w:cs="Courier New"/>
      <w:b/>
      <w:sz w:val="26"/>
      <w:szCs w:val="26"/>
    </w:rPr>
  </w:style>
  <w:style w:type="character" w:styleId="901">
    <w:name w:val="Верхний колонтитул Знак"/>
    <w:next w:val="901"/>
    <w:link w:val="876"/>
    <w:rPr>
      <w:sz w:val="24"/>
      <w:szCs w:val="24"/>
    </w:rPr>
  </w:style>
  <w:style w:type="character" w:styleId="902">
    <w:name w:val="Нижний колонтитул Знак"/>
    <w:next w:val="902"/>
    <w:link w:val="876"/>
    <w:rPr>
      <w:sz w:val="22"/>
      <w:szCs w:val="22"/>
    </w:rPr>
  </w:style>
  <w:style w:type="character" w:styleId="903">
    <w:name w:val="Текст выноски Знак"/>
    <w:next w:val="903"/>
    <w:link w:val="876"/>
    <w:rPr>
      <w:rFonts w:ascii="Tahoma" w:hAnsi="Tahoma" w:cs="Tahoma"/>
      <w:sz w:val="16"/>
      <w:szCs w:val="16"/>
    </w:rPr>
  </w:style>
  <w:style w:type="character" w:styleId="904">
    <w:name w:val="Текст выноски Знак1"/>
    <w:next w:val="904"/>
    <w:link w:val="876"/>
    <w:rPr>
      <w:rFonts w:ascii="Tahoma" w:hAnsi="Tahoma" w:cs="Tahoma"/>
      <w:sz w:val="16"/>
      <w:szCs w:val="16"/>
    </w:rPr>
  </w:style>
  <w:style w:type="character" w:styleId="905">
    <w:name w:val="Гиперссылка"/>
    <w:next w:val="905"/>
    <w:link w:val="876"/>
    <w:rPr>
      <w:color w:val="0000ff"/>
      <w:u w:val="single"/>
    </w:rPr>
  </w:style>
  <w:style w:type="paragraph" w:styleId="906">
    <w:name w:val="Основной текст"/>
    <w:basedOn w:val="876"/>
    <w:next w:val="906"/>
    <w:link w:val="876"/>
    <w:pPr>
      <w:spacing w:before="0" w:after="120"/>
    </w:pPr>
  </w:style>
  <w:style w:type="paragraph" w:styleId="907">
    <w:name w:val="Список"/>
    <w:basedOn w:val="906"/>
    <w:next w:val="907"/>
    <w:link w:val="876"/>
    <w:rPr>
      <w:rFonts w:cs="Mangal"/>
    </w:rPr>
  </w:style>
  <w:style w:type="paragraph" w:styleId="908">
    <w:name w:val="Название1"/>
    <w:basedOn w:val="876"/>
    <w:next w:val="908"/>
    <w:link w:val="876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09">
    <w:name w:val="Указатель1"/>
    <w:basedOn w:val="876"/>
    <w:next w:val="909"/>
    <w:link w:val="876"/>
    <w:pPr>
      <w:suppressLineNumbers/>
    </w:pPr>
    <w:rPr>
      <w:rFonts w:cs="Mangal"/>
    </w:rPr>
  </w:style>
  <w:style w:type="paragraph" w:styleId="910">
    <w:name w:val="Название"/>
    <w:basedOn w:val="876"/>
    <w:next w:val="911"/>
    <w:link w:val="876"/>
    <w:qFormat/>
    <w:pPr>
      <w:jc w:val="center"/>
      <w:spacing w:before="0" w:after="0" w:line="240" w:lineRule="auto"/>
    </w:pPr>
    <w:rPr>
      <w:rFonts w:ascii="Times New Roman" w:hAnsi="Times New Roman" w:cs="Times New Roman"/>
      <w:b/>
      <w:bCs/>
      <w:sz w:val="24"/>
      <w:szCs w:val="20"/>
    </w:rPr>
  </w:style>
  <w:style w:type="paragraph" w:styleId="911">
    <w:name w:val="Подзаголовок"/>
    <w:basedOn w:val="910"/>
    <w:next w:val="906"/>
    <w:link w:val="876"/>
    <w:qFormat/>
    <w:pPr>
      <w:jc w:val="center"/>
    </w:pPr>
    <w:rPr>
      <w:i/>
      <w:iCs/>
      <w:sz w:val="28"/>
      <w:szCs w:val="28"/>
    </w:rPr>
  </w:style>
  <w:style w:type="paragraph" w:styleId="912">
    <w:name w:val="Основной текст с отступом"/>
    <w:basedOn w:val="876"/>
    <w:next w:val="912"/>
    <w:link w:val="876"/>
    <w:pPr>
      <w:ind w:left="0" w:right="0" w:firstLine="709"/>
      <w:jc w:val="both"/>
      <w:spacing w:before="0"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913">
    <w:name w:val="ConsNonformat"/>
    <w:next w:val="913"/>
    <w:link w:val="876"/>
    <w:pPr>
      <w:widowControl w:val="off"/>
    </w:pPr>
    <w:rPr>
      <w:rFonts w:ascii="Courier New" w:hAnsi="Courier New" w:cs="Courier New"/>
      <w:lang w:val="ru-RU" w:eastAsia="ar-SA" w:bidi="ar-SA"/>
    </w:rPr>
  </w:style>
  <w:style w:type="paragraph" w:styleId="914">
    <w:name w:val="Верхний колонтитул"/>
    <w:basedOn w:val="876"/>
    <w:next w:val="914"/>
    <w:link w:val="876"/>
    <w:pPr>
      <w:spacing w:before="0" w:after="0" w:line="240" w:lineRule="auto"/>
      <w:tabs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915">
    <w:name w:val="Нижний колонтитул"/>
    <w:basedOn w:val="876"/>
    <w:next w:val="915"/>
    <w:link w:val="876"/>
    <w:pPr>
      <w:tabs>
        <w:tab w:val="center" w:pos="4677" w:leader="none"/>
        <w:tab w:val="right" w:pos="9355" w:leader="none"/>
      </w:tabs>
    </w:pPr>
  </w:style>
  <w:style w:type="paragraph" w:styleId="916">
    <w:name w:val="Текст выноски"/>
    <w:basedOn w:val="876"/>
    <w:next w:val="916"/>
    <w:link w:val="87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917">
    <w:name w:val="WW-Текст выноски"/>
    <w:basedOn w:val="876"/>
    <w:next w:val="917"/>
    <w:link w:val="876"/>
    <w:pPr>
      <w:spacing w:before="0"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918">
    <w:name w:val="Без интервала"/>
    <w:next w:val="918"/>
    <w:link w:val="876"/>
    <w:qFormat/>
    <w:rPr>
      <w:sz w:val="22"/>
      <w:szCs w:val="22"/>
      <w:lang w:val="ru-RU" w:eastAsia="ar-SA" w:bidi="ar-SA"/>
    </w:rPr>
  </w:style>
  <w:style w:type="paragraph" w:styleId="919">
    <w:name w:val="Содержимое таблицы"/>
    <w:basedOn w:val="876"/>
    <w:next w:val="919"/>
    <w:link w:val="876"/>
    <w:pPr>
      <w:suppressLineNumbers/>
    </w:pPr>
  </w:style>
  <w:style w:type="paragraph" w:styleId="920">
    <w:name w:val="Заголовок таблицы"/>
    <w:basedOn w:val="919"/>
    <w:next w:val="920"/>
    <w:link w:val="876"/>
    <w:pPr>
      <w:jc w:val="center"/>
      <w:suppressLineNumbers/>
    </w:pPr>
    <w:rPr>
      <w:b/>
      <w:bCs/>
    </w:rPr>
  </w:style>
  <w:style w:type="paragraph" w:styleId="921">
    <w:name w:val="Текст сноски"/>
    <w:basedOn w:val="876"/>
    <w:next w:val="921"/>
    <w:link w:val="922"/>
    <w:uiPriority w:val="99"/>
    <w:semiHidden/>
    <w:unhideWhenUsed/>
    <w:rPr>
      <w:sz w:val="20"/>
      <w:szCs w:val="20"/>
    </w:rPr>
  </w:style>
  <w:style w:type="character" w:styleId="922">
    <w:name w:val="Текст сноски Знак"/>
    <w:next w:val="922"/>
    <w:link w:val="921"/>
    <w:uiPriority w:val="99"/>
    <w:semiHidden/>
    <w:rPr>
      <w:lang w:eastAsia="ar-SA"/>
    </w:rPr>
  </w:style>
  <w:style w:type="character" w:styleId="923" w:default="1">
    <w:name w:val="Default Paragraph Font"/>
    <w:uiPriority w:val="1"/>
    <w:semiHidden/>
    <w:unhideWhenUsed/>
  </w:style>
  <w:style w:type="numbering" w:styleId="924" w:default="1">
    <w:name w:val="No List"/>
    <w:uiPriority w:val="99"/>
    <w:semiHidden/>
    <w:unhideWhenUsed/>
  </w:style>
  <w:style w:type="table" w:styleId="92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М.Н.П.</dc:creator>
  <cp:revision>32</cp:revision>
  <dcterms:created xsi:type="dcterms:W3CDTF">2017-03-17T11:17:00Z</dcterms:created>
  <dcterms:modified xsi:type="dcterms:W3CDTF">2026-10-15T05:38:23Z</dcterms:modified>
  <cp:version>1048576</cp:version>
</cp:coreProperties>
</file>