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0"/>
        <w:rPr>
          <w:sz w:val="21"/>
          <w:szCs w:val="21"/>
        </w:rPr>
      </w:pPr>
      <w:r>
        <w:rPr>
          <w:sz w:val="21"/>
          <w:szCs w:val="21"/>
        </w:rPr>
        <w:t xml:space="preserve">ДОГОВОР О ЗАДАТКЕ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г. Омск                                                                                                   </w:t>
        <w:tab/>
        <w:t xml:space="preserve">           «___» _____________ 20</w:t>
      </w:r>
      <w:r>
        <w:rPr>
          <w:sz w:val="21"/>
          <w:szCs w:val="21"/>
        </w:rPr>
        <w:t xml:space="preserve">2</w:t>
      </w:r>
      <w:r>
        <w:rPr>
          <w:sz w:val="21"/>
          <w:szCs w:val="21"/>
        </w:rPr>
        <w:t xml:space="preserve">6 г.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Финансовый</w:t>
      </w:r>
      <w:r>
        <w:rPr>
          <w:sz w:val="21"/>
          <w:szCs w:val="21"/>
        </w:rPr>
        <w:t xml:space="preserve"> управляющий </w:t>
      </w:r>
      <w:r>
        <w:rPr>
          <w:sz w:val="21"/>
          <w:szCs w:val="21"/>
        </w:rPr>
        <w:t xml:space="preserve">гр. </w:t>
      </w:r>
      <w:r>
        <w:rPr>
          <w:sz w:val="21"/>
          <w:szCs w:val="21"/>
        </w:rPr>
        <w:t xml:space="preserve">Иващука Александра Сергеевича </w:t>
      </w:r>
      <w:r>
        <w:rPr>
          <w:sz w:val="21"/>
          <w:szCs w:val="21"/>
        </w:rPr>
        <w:t xml:space="preserve">(</w:t>
      </w:r>
      <w:r>
        <w:rPr>
          <w:sz w:val="21"/>
          <w:szCs w:val="21"/>
        </w:rPr>
        <w:t xml:space="preserve">23.02.1959 г.р., место рождения: г. С</w:t>
      </w:r>
      <w:r>
        <w:rPr>
          <w:sz w:val="21"/>
          <w:szCs w:val="21"/>
        </w:rPr>
        <w:t xml:space="preserve">ковородино Амурской области, адрес регистрации: Амурская обл., г. Тында, ул. Спортивная, 16, кв. 40, ИНН 280801863164, СНИЛС 055-115-447-32</w:t>
      </w:r>
      <w:r>
        <w:rPr>
          <w:sz w:val="21"/>
          <w:szCs w:val="21"/>
        </w:rPr>
        <w:t xml:space="preserve">, дата смерти: 01.08.2024)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Гвоздкова Наталья Владимировна, именуемая</w:t>
      </w:r>
      <w:r>
        <w:rPr>
          <w:sz w:val="21"/>
          <w:szCs w:val="21"/>
        </w:rPr>
        <w:t xml:space="preserve"> в дальнейшем </w:t>
      </w:r>
      <w:r>
        <w:rPr>
          <w:b/>
          <w:bCs/>
          <w:sz w:val="21"/>
          <w:szCs w:val="21"/>
        </w:rPr>
        <w:t xml:space="preserve">Организатор торгов</w:t>
      </w:r>
      <w:r>
        <w:rPr>
          <w:sz w:val="21"/>
          <w:szCs w:val="21"/>
        </w:rPr>
        <w:t xml:space="preserve">, действующ</w:t>
      </w:r>
      <w:r>
        <w:rPr>
          <w:sz w:val="21"/>
          <w:szCs w:val="21"/>
        </w:rPr>
        <w:t xml:space="preserve">ая</w:t>
      </w:r>
      <w:r>
        <w:rPr>
          <w:sz w:val="21"/>
          <w:szCs w:val="21"/>
        </w:rPr>
        <w:t xml:space="preserve"> на основании </w:t>
      </w:r>
      <w:r>
        <w:rPr>
          <w:sz w:val="21"/>
          <w:szCs w:val="21"/>
        </w:rPr>
        <w:t xml:space="preserve">Решения </w:t>
      </w:r>
      <w:r>
        <w:rPr>
          <w:sz w:val="21"/>
          <w:szCs w:val="21"/>
        </w:rPr>
        <w:t xml:space="preserve">Арбитражного суда Амурской области от 15.09.2022 года по делу А04-1332/2022</w:t>
      </w:r>
      <w:r>
        <w:rPr>
          <w:sz w:val="21"/>
          <w:szCs w:val="21"/>
        </w:rPr>
        <w:t xml:space="preserve">, </w:t>
      </w:r>
      <w:r>
        <w:rPr>
          <w:rFonts w:ascii="Times New Roman" w:hAnsi="Times New Roman" w:eastAsia="Times New Roman" w:cs="Times New Roman"/>
          <w:sz w:val="21"/>
          <w:szCs w:val="21"/>
          <w:highlight w:val="none"/>
        </w:rPr>
        <w:t xml:space="preserve">Определения Арбитражного суда Амурской области от 25.09.2024 года по делу А04-1332/2022</w:t>
      </w:r>
      <w:r>
        <w:rPr>
          <w:sz w:val="21"/>
          <w:szCs w:val="21"/>
        </w:rPr>
        <w:t xml:space="preserve">, Определения </w:t>
      </w:r>
      <w:r>
        <w:rPr>
          <w:sz w:val="21"/>
          <w:szCs w:val="21"/>
        </w:rPr>
        <w:t xml:space="preserve">Арбитражного суда </w:t>
      </w:r>
      <w:r>
        <w:rPr>
          <w:sz w:val="21"/>
          <w:szCs w:val="21"/>
        </w:rPr>
        <w:t xml:space="preserve">Амурской области</w:t>
      </w:r>
      <w:r>
        <w:rPr>
          <w:sz w:val="21"/>
          <w:szCs w:val="21"/>
        </w:rPr>
        <w:t xml:space="preserve"> от 24.12.2024 года</w:t>
      </w:r>
      <w:r>
        <w:rPr>
          <w:sz w:val="21"/>
          <w:szCs w:val="21"/>
        </w:rPr>
        <w:t xml:space="preserve"> (рез. часть) </w:t>
      </w:r>
      <w:r>
        <w:rPr>
          <w:sz w:val="21"/>
          <w:szCs w:val="21"/>
        </w:rPr>
        <w:t xml:space="preserve">по делу </w:t>
      </w:r>
      <w:r>
        <w:rPr>
          <w:sz w:val="21"/>
          <w:szCs w:val="21"/>
        </w:rPr>
        <w:t xml:space="preserve">А04-1332/2022</w:t>
      </w:r>
      <w:r>
        <w:rPr>
          <w:sz w:val="21"/>
          <w:szCs w:val="21"/>
        </w:rPr>
        <w:t xml:space="preserve">, с одной стороны, и</w:t>
      </w:r>
      <w:r>
        <w:rPr>
          <w:sz w:val="21"/>
          <w:szCs w:val="21"/>
        </w:rPr>
      </w:r>
      <w:r/>
    </w:p>
    <w:p>
      <w:pPr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  <w:t xml:space="preserve">__________________</w:t>
      </w:r>
      <w:r>
        <w:rPr>
          <w:sz w:val="21"/>
          <w:szCs w:val="21"/>
        </w:rPr>
        <w:t xml:space="preserve">___</w:t>
      </w:r>
      <w:r>
        <w:rPr>
          <w:sz w:val="21"/>
          <w:szCs w:val="21"/>
        </w:rPr>
        <w:t xml:space="preserve">________</w:t>
      </w:r>
      <w:r>
        <w:rPr>
          <w:sz w:val="21"/>
          <w:szCs w:val="21"/>
        </w:rPr>
        <w:t xml:space="preserve">___________________________________</w:t>
      </w:r>
      <w:r>
        <w:rPr>
          <w:sz w:val="21"/>
          <w:szCs w:val="21"/>
        </w:rPr>
        <w:t xml:space="preserve">_, именуемый в дальнейшем </w:t>
      </w:r>
      <w:r>
        <w:rPr>
          <w:b/>
          <w:bCs/>
          <w:sz w:val="21"/>
          <w:szCs w:val="21"/>
        </w:rPr>
        <w:t xml:space="preserve">Заявитель</w:t>
      </w:r>
      <w:r>
        <w:rPr>
          <w:sz w:val="21"/>
          <w:szCs w:val="21"/>
        </w:rPr>
        <w:t xml:space="preserve">, в лице ___</w:t>
      </w:r>
      <w:r>
        <w:rPr>
          <w:sz w:val="21"/>
          <w:szCs w:val="21"/>
        </w:rPr>
        <w:t xml:space="preserve">___________</w:t>
      </w:r>
      <w:r>
        <w:rPr>
          <w:sz w:val="21"/>
          <w:szCs w:val="21"/>
        </w:rPr>
        <w:t xml:space="preserve">_____</w:t>
      </w:r>
      <w:r>
        <w:rPr>
          <w:sz w:val="21"/>
          <w:szCs w:val="21"/>
        </w:rPr>
        <w:t xml:space="preserve">_______</w:t>
      </w:r>
      <w:r>
        <w:rPr>
          <w:sz w:val="21"/>
          <w:szCs w:val="21"/>
        </w:rPr>
        <w:t xml:space="preserve">___________</w:t>
      </w:r>
      <w:r>
        <w:rPr>
          <w:sz w:val="21"/>
          <w:szCs w:val="21"/>
        </w:rPr>
        <w:t xml:space="preserve">____</w:t>
      </w:r>
      <w:r>
        <w:rPr>
          <w:sz w:val="21"/>
          <w:szCs w:val="21"/>
        </w:rPr>
        <w:t xml:space="preserve">,</w:t>
      </w:r>
      <w:r>
        <w:rPr>
          <w:sz w:val="21"/>
          <w:szCs w:val="21"/>
        </w:rPr>
        <w:t xml:space="preserve">  действующий на основании ______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______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, с другой стороны, а вместе далее именуемые </w:t>
      </w:r>
      <w:r>
        <w:rPr>
          <w:b/>
          <w:bCs/>
          <w:sz w:val="21"/>
          <w:szCs w:val="21"/>
        </w:rPr>
        <w:t xml:space="preserve">Стороны</w:t>
      </w:r>
      <w:r>
        <w:rPr>
          <w:sz w:val="21"/>
          <w:szCs w:val="21"/>
        </w:rPr>
        <w:t xml:space="preserve">, заключили настоящий Договор о нижеследующем: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numPr>
          <w:ilvl w:val="0"/>
          <w:numId w:val="2"/>
        </w:numPr>
        <w:ind w:left="0"/>
        <w:jc w:val="center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Предмет Договора</w:t>
      </w:r>
      <w:r>
        <w:rPr>
          <w:sz w:val="21"/>
          <w:szCs w:val="21"/>
        </w:rPr>
      </w:r>
      <w:r/>
    </w:p>
    <w:p>
      <w:pPr>
        <w:pStyle w:val="816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tabs>
          <w:tab w:val="left" w:pos="-2977" w:leader="none"/>
          <w:tab w:val="left" w:pos="-2268" w:leader="none"/>
          <w:tab w:val="left" w:pos="1134" w:leader="none"/>
        </w:tabs>
        <w:rPr>
          <w:sz w:val="21"/>
          <w:szCs w:val="21"/>
        </w:rPr>
      </w:pPr>
      <w:r>
        <w:rPr>
          <w:sz w:val="21"/>
          <w:szCs w:val="21"/>
        </w:rPr>
        <w:t xml:space="preserve">1.1. </w:t>
      </w:r>
      <w:r>
        <w:rPr>
          <w:sz w:val="21"/>
          <w:szCs w:val="21"/>
        </w:rPr>
        <w:t xml:space="preserve">Заявитель обязуется перечислить на </w:t>
      </w:r>
      <w:r>
        <w:rPr>
          <w:sz w:val="21"/>
          <w:szCs w:val="21"/>
        </w:rPr>
        <w:t xml:space="preserve">расчетный счет</w:t>
      </w:r>
      <w:r>
        <w:rPr>
          <w:sz w:val="21"/>
          <w:szCs w:val="21"/>
        </w:rPr>
        <w:t xml:space="preserve"> задаток в размере </w:t>
      </w:r>
      <w:r>
        <w:rPr>
          <w:sz w:val="21"/>
          <w:szCs w:val="21"/>
        </w:rPr>
        <w:t xml:space="preserve">1</w:t>
      </w:r>
      <w:r>
        <w:rPr>
          <w:sz w:val="21"/>
          <w:szCs w:val="21"/>
        </w:rPr>
        <w:t xml:space="preserve">0%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от начальной цены продажи</w:t>
      </w:r>
      <w:r>
        <w:rPr>
          <w:sz w:val="21"/>
          <w:szCs w:val="21"/>
        </w:rPr>
        <w:t xml:space="preserve"> в счет обеспечения оплаты лота </w:t>
      </w:r>
      <w:r>
        <w:rPr>
          <w:i/>
          <w:iCs/>
          <w:sz w:val="21"/>
          <w:szCs w:val="21"/>
        </w:rPr>
        <w:t xml:space="preserve">(нужное оставить)</w:t>
      </w:r>
      <w:r>
        <w:rPr>
          <w:sz w:val="21"/>
          <w:szCs w:val="21"/>
        </w:rPr>
        <w:t xml:space="preserve">:</w:t>
      </w:r>
      <w:r>
        <w:rPr>
          <w:sz w:val="21"/>
          <w:szCs w:val="21"/>
        </w:rPr>
      </w:r>
      <w:r/>
    </w:p>
    <w:p>
      <w:pPr>
        <w:ind w:firstLine="709"/>
        <w:jc w:val="both"/>
        <w:spacing w:after="0" w:line="240" w:lineRule="auto"/>
        <w:rPr>
          <w14:ligatures w14:val="none"/>
        </w:rPr>
      </w:pPr>
      <w:r>
        <w:rPr>
          <w:b w:val="0"/>
          <w:bCs w:val="0"/>
        </w:rPr>
        <w:t xml:space="preserve">Лот №1: </w:t>
      </w:r>
      <w:r>
        <w:rPr>
          <w:b w:val="0"/>
          <w:bCs w:val="0"/>
        </w:rPr>
        <w:t xml:space="preserve">Полуприцеп цистерна (бензовоз) марки СIМС ZJV9400GYYDY, год выпуска: 2012, vin: LJRT12385CN000034, модель, № двигателя отсутствует, шасси (рама) № отсутствует, кузов (кабина, прицеп) № отсутствует, цвет: оранжевый, ГРЗ: АР 2304 28.</w:t>
      </w:r>
      <w:r>
        <w:rPr>
          <w:b w:val="0"/>
          <w:bCs w:val="0"/>
        </w:rPr>
      </w:r>
      <w:r/>
    </w:p>
    <w:p>
      <w:pPr>
        <w:ind w:firstLine="709"/>
        <w:jc w:val="both"/>
        <w:spacing w:after="0" w:line="240" w:lineRule="auto"/>
        <w:rPr>
          <w14:ligatures w14:val="none"/>
        </w:rPr>
      </w:pPr>
      <w:r>
        <w:rPr>
          <w:b w:val="0"/>
          <w:bCs w:val="0"/>
        </w:rPr>
        <w:t xml:space="preserve">Техническое состояние: требует ремонта.</w:t>
      </w:r>
      <w:r>
        <w:rPr>
          <w:b w:val="0"/>
          <w:bCs w:val="0"/>
        </w:rPr>
      </w:r>
      <w:r/>
    </w:p>
    <w:p>
      <w:pPr>
        <w:ind w:firstLine="709"/>
        <w:jc w:val="both"/>
        <w:spacing w:after="0" w:line="240" w:lineRule="auto"/>
        <w:rPr>
          <w:b w:val="0"/>
          <w:bCs w:val="0"/>
          <w14:ligatures w14:val="none"/>
        </w:rPr>
      </w:pPr>
      <w:r>
        <w:rPr>
          <w:b w:val="0"/>
          <w:bCs w:val="0"/>
        </w:rPr>
        <w:t xml:space="preserve">Начальная цена: 729 000 руб.</w:t>
      </w:r>
      <w:r>
        <w:rPr>
          <w:b w:val="0"/>
          <w:bCs w:val="0"/>
        </w:rPr>
      </w:r>
      <w:r/>
    </w:p>
    <w:p>
      <w:pPr>
        <w:ind w:firstLine="709"/>
        <w:jc w:val="both"/>
        <w:spacing w:after="0" w:line="240" w:lineRule="auto"/>
        <w:rPr>
          <w:b w:val="0"/>
          <w:bCs w:val="0"/>
          <w14:ligatures w14:val="none"/>
        </w:rPr>
      </w:pPr>
      <w:r>
        <w:rPr>
          <w:b w:val="0"/>
          <w:bCs w:val="0"/>
        </w:rPr>
        <w:t xml:space="preserve">ИЛИ</w:t>
      </w:r>
      <w:r>
        <w:rPr>
          <w:b w:val="0"/>
          <w:bCs w:val="0"/>
        </w:rPr>
      </w:r>
      <w:r/>
    </w:p>
    <w:p>
      <w:pPr>
        <w:ind w:firstLine="709"/>
        <w:jc w:val="both"/>
        <w:spacing w:after="0" w:line="240" w:lineRule="auto"/>
        <w:rPr>
          <w14:ligatures w14:val="none"/>
        </w:rPr>
      </w:pPr>
      <w:r>
        <w:rPr>
          <w:b w:val="0"/>
          <w:bCs w:val="0"/>
        </w:rPr>
        <w:t xml:space="preserve">Лот №2: </w:t>
      </w:r>
      <w:r>
        <w:rPr>
          <w:b w:val="0"/>
          <w:bCs w:val="0"/>
        </w:rPr>
        <w:t xml:space="preserve">Грузовой тягач седельный марки MAN TGS 33.480 6X6 BBS-WW, год выпуска: 2015, vin: WMA56WZZ1GP071267, модель, № двигателя: D2676LFB251543040614311, кузов (кабина, прицеп) № отсутствует, цвет: синий, тип двигателя: дизельный, ГРЗ: У 719 НН 28.</w:t>
      </w:r>
      <w:r>
        <w:rPr>
          <w:b w:val="0"/>
          <w:bCs w:val="0"/>
        </w:rPr>
      </w:r>
      <w:r/>
    </w:p>
    <w:p>
      <w:pPr>
        <w:ind w:firstLine="709"/>
        <w:jc w:val="both"/>
        <w:spacing w:after="0" w:line="240" w:lineRule="auto"/>
        <w:rPr>
          <w14:ligatures w14:val="none"/>
        </w:rPr>
      </w:pPr>
      <w:r>
        <w:rPr>
          <w:b w:val="0"/>
          <w:bCs w:val="0"/>
        </w:rPr>
        <w:t xml:space="preserve">Техническое состояние: требует ремонта.</w:t>
      </w:r>
      <w:r>
        <w:rPr>
          <w:b w:val="0"/>
          <w:bCs w:val="0"/>
        </w:rPr>
      </w:r>
      <w:r/>
    </w:p>
    <w:p>
      <w:pPr>
        <w:ind w:firstLine="709"/>
        <w:jc w:val="both"/>
        <w:spacing w:after="0" w:line="240" w:lineRule="auto"/>
        <w:rPr>
          <w:b w:val="0"/>
          <w:bCs w:val="0"/>
          <w14:ligatures w14:val="none"/>
        </w:rPr>
      </w:pPr>
      <w:r>
        <w:rPr>
          <w:b w:val="0"/>
          <w:bCs w:val="0"/>
        </w:rPr>
        <w:t xml:space="preserve">Начальная цена: 2 880 000 руб.</w:t>
      </w:r>
      <w:r>
        <w:rPr>
          <w:b w:val="0"/>
          <w:bCs w:val="0"/>
        </w:rPr>
      </w:r>
      <w:r/>
    </w:p>
    <w:p>
      <w:pPr>
        <w:ind w:firstLine="709"/>
        <w:jc w:val="both"/>
        <w:spacing w:after="0" w:line="240" w:lineRule="auto"/>
        <w:rPr>
          <w:b w:val="0"/>
          <w:bCs w:val="0"/>
          <w:sz w:val="21"/>
          <w:szCs w:val="21"/>
        </w:rPr>
      </w:pPr>
      <w:r>
        <w:rPr>
          <w:b w:val="0"/>
          <w:bCs w:val="0"/>
          <w:sz w:val="21"/>
          <w:szCs w:val="21"/>
          <w:highlight w:val="none"/>
        </w:rPr>
      </w:r>
      <w:r>
        <w:rPr>
          <w:b w:val="0"/>
          <w:bCs w:val="0"/>
          <w:sz w:val="21"/>
          <w:szCs w:val="21"/>
          <w:highlight w:val="none"/>
        </w:rPr>
      </w:r>
      <w:r/>
    </w:p>
    <w:p>
      <w:pPr>
        <w:pStyle w:val="816"/>
        <w:jc w:val="center"/>
        <w:spacing w:after="0" w:line="240" w:lineRule="auto"/>
        <w:tabs>
          <w:tab w:val="left" w:pos="360" w:leader="none"/>
        </w:tabs>
        <w:rPr>
          <w:sz w:val="21"/>
          <w:szCs w:val="21"/>
        </w:rPr>
      </w:pPr>
      <w:r>
        <w:rPr>
          <w:b/>
          <w:sz w:val="21"/>
          <w:szCs w:val="21"/>
        </w:rPr>
        <w:t xml:space="preserve">2.</w:t>
        <w:tab/>
        <w:t xml:space="preserve">Обязанности сторон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2.1. </w:t>
      </w:r>
      <w:r>
        <w:rPr>
          <w:b/>
          <w:bCs/>
          <w:sz w:val="21"/>
          <w:szCs w:val="21"/>
        </w:rPr>
        <w:t xml:space="preserve">Заявитель </w:t>
      </w:r>
      <w:r>
        <w:rPr>
          <w:bCs/>
          <w:sz w:val="21"/>
          <w:szCs w:val="21"/>
        </w:rPr>
        <w:t xml:space="preserve">обязан перечислить указанную в п. 1.1 сумму задатка </w:t>
      </w:r>
      <w:r>
        <w:rPr>
          <w:sz w:val="21"/>
          <w:szCs w:val="21"/>
        </w:rPr>
        <w:t xml:space="preserve">не позднее даты окончания приема заявок, указанной в Извещении о проведении торгов.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2.2.</w:t>
        <w:tab/>
      </w:r>
      <w:r>
        <w:rPr>
          <w:b/>
          <w:bCs/>
          <w:sz w:val="21"/>
          <w:szCs w:val="21"/>
        </w:rPr>
        <w:t xml:space="preserve">Организатор торгов</w:t>
      </w:r>
      <w:r>
        <w:rPr>
          <w:sz w:val="21"/>
          <w:szCs w:val="21"/>
        </w:rPr>
        <w:t xml:space="preserve"> не вправе распоряжаться денежными средствами, поступившими на счет в качестве </w:t>
      </w:r>
      <w:r>
        <w:rPr>
          <w:b/>
          <w:bCs/>
          <w:sz w:val="21"/>
          <w:szCs w:val="21"/>
        </w:rPr>
        <w:t xml:space="preserve">Задатка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tabs>
          <w:tab w:val="left" w:pos="420" w:leader="none"/>
        </w:tabs>
        <w:rPr>
          <w:b/>
          <w:sz w:val="21"/>
          <w:szCs w:val="21"/>
        </w:rPr>
      </w:pPr>
      <w:r>
        <w:rPr>
          <w:sz w:val="21"/>
          <w:szCs w:val="21"/>
        </w:rPr>
        <w:t xml:space="preserve">2.3.</w:t>
        <w:tab/>
        <w:t xml:space="preserve">На сумму </w:t>
      </w:r>
      <w:r>
        <w:rPr>
          <w:b/>
          <w:sz w:val="21"/>
          <w:szCs w:val="21"/>
        </w:rPr>
        <w:t xml:space="preserve">Задатка</w:t>
      </w:r>
      <w:r>
        <w:rPr>
          <w:sz w:val="21"/>
          <w:szCs w:val="21"/>
        </w:rPr>
        <w:t xml:space="preserve">, проценты не начисляются.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3.</w:t>
        <w:tab/>
        <w:t xml:space="preserve">Порядок возврата и удержания Задатка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3.1. </w:t>
      </w:r>
      <w:r>
        <w:rPr>
          <w:bCs/>
          <w:sz w:val="21"/>
          <w:szCs w:val="21"/>
        </w:rPr>
        <w:t xml:space="preserve">Задаток </w:t>
      </w:r>
      <w:r>
        <w:rPr>
          <w:sz w:val="21"/>
          <w:szCs w:val="21"/>
        </w:rPr>
        <w:t xml:space="preserve">возвращается в </w:t>
      </w:r>
      <w:r>
        <w:rPr>
          <w:sz w:val="21"/>
          <w:szCs w:val="21"/>
        </w:rPr>
        <w:t xml:space="preserve">случаях,</w:t>
      </w:r>
      <w:r>
        <w:rPr>
          <w:sz w:val="21"/>
          <w:szCs w:val="21"/>
        </w:rPr>
        <w:t xml:space="preserve"> если </w:t>
      </w:r>
      <w:r>
        <w:rPr>
          <w:bCs/>
          <w:sz w:val="21"/>
          <w:szCs w:val="21"/>
        </w:rPr>
        <w:t xml:space="preserve">Заявитель</w:t>
      </w:r>
      <w:r>
        <w:rPr>
          <w:sz w:val="21"/>
          <w:szCs w:val="21"/>
        </w:rPr>
        <w:t xml:space="preserve"> не будет допущен к участию в торгах, участвовал в торгах, но не выиграл их, в случае отзыва заявки, отмены торгов в срок, не превышающий 5 (пять) рабочих дней</w:t>
      </w:r>
      <w:r>
        <w:rPr>
          <w:sz w:val="21"/>
          <w:szCs w:val="21"/>
        </w:rPr>
        <w:t xml:space="preserve"> с даты подписания протокола торгов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3.2. Внесенный </w:t>
      </w:r>
      <w:r>
        <w:rPr>
          <w:bCs/>
          <w:sz w:val="21"/>
          <w:szCs w:val="21"/>
        </w:rPr>
        <w:t xml:space="preserve">Задаток</w:t>
      </w:r>
      <w:r>
        <w:rPr>
          <w:sz w:val="21"/>
          <w:szCs w:val="21"/>
        </w:rPr>
        <w:t xml:space="preserve"> не возвращается лицу, признанному выигравшим торги</w:t>
      </w:r>
      <w:r>
        <w:rPr>
          <w:sz w:val="21"/>
          <w:szCs w:val="21"/>
        </w:rPr>
        <w:t xml:space="preserve"> (признанному единственным участником торгов)</w:t>
      </w:r>
      <w:r>
        <w:rPr>
          <w:sz w:val="21"/>
          <w:szCs w:val="21"/>
        </w:rPr>
        <w:t xml:space="preserve">, если оно уклонится от подписания Протокола о результатах торгов, или Договора купли – продажи имущества, либо уклонится от оплаты продаваемого на торгах </w:t>
      </w:r>
      <w:r>
        <w:rPr>
          <w:bCs/>
          <w:sz w:val="21"/>
          <w:szCs w:val="21"/>
        </w:rPr>
        <w:t xml:space="preserve">Имущества</w:t>
      </w:r>
      <w:r>
        <w:rPr>
          <w:sz w:val="21"/>
          <w:szCs w:val="21"/>
        </w:rPr>
        <w:t xml:space="preserve"> в установленный договором срок.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3.3. Внесенный </w:t>
      </w:r>
      <w:r>
        <w:rPr>
          <w:bCs/>
          <w:sz w:val="21"/>
          <w:szCs w:val="21"/>
        </w:rPr>
        <w:t xml:space="preserve">Заявителем Задаток</w:t>
      </w:r>
      <w:r>
        <w:rPr>
          <w:sz w:val="21"/>
          <w:szCs w:val="21"/>
        </w:rPr>
        <w:t xml:space="preserve"> засчитывается в счет оплаты приобретаемого на торгах </w:t>
      </w:r>
      <w:r>
        <w:rPr>
          <w:bCs/>
          <w:sz w:val="21"/>
          <w:szCs w:val="21"/>
        </w:rPr>
        <w:t xml:space="preserve">Имущества.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4. Срок действия Договора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4.1. Настоящий Договор вступает в силу с момента его подписания </w:t>
      </w:r>
      <w:r>
        <w:rPr>
          <w:b/>
          <w:bCs/>
          <w:sz w:val="21"/>
          <w:szCs w:val="21"/>
        </w:rPr>
        <w:t xml:space="preserve">Сторонами.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4.2. Споры, связанные с исполнением настоящего Договора, разрешаются </w:t>
      </w:r>
      <w:r>
        <w:rPr>
          <w:b/>
          <w:bCs/>
          <w:sz w:val="21"/>
          <w:szCs w:val="21"/>
        </w:rPr>
        <w:t xml:space="preserve">Сторонами</w:t>
      </w:r>
      <w:r>
        <w:rPr>
          <w:sz w:val="21"/>
          <w:szCs w:val="21"/>
        </w:rPr>
        <w:t xml:space="preserve"> путем переговоров, а в случае не достижения согласия рассматриваются в суде.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b/>
          <w:sz w:val="21"/>
          <w:szCs w:val="21"/>
        </w:rPr>
      </w:pPr>
      <w:r>
        <w:rPr>
          <w:sz w:val="21"/>
          <w:szCs w:val="21"/>
        </w:rPr>
        <w:t xml:space="preserve">4.3. Настоящий Договор составлен в двух экземплярах, имеющих одинаковую юридическую силу, по одному для каждой из </w:t>
      </w:r>
      <w:r>
        <w:rPr>
          <w:b/>
          <w:bCs/>
          <w:sz w:val="21"/>
          <w:szCs w:val="21"/>
        </w:rPr>
        <w:t xml:space="preserve">Сторон.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5. Адреса и банковские реквизиты Сторон</w:t>
      </w:r>
      <w:r>
        <w:rPr>
          <w:sz w:val="21"/>
          <w:szCs w:val="21"/>
        </w:rPr>
      </w:r>
      <w:r/>
    </w:p>
    <w:p>
      <w:pPr>
        <w:pStyle w:val="817"/>
        <w:rPr>
          <w:sz w:val="21"/>
          <w:szCs w:val="21"/>
        </w:rPr>
      </w:pPr>
      <w:r>
        <w:rPr>
          <w:sz w:val="21"/>
          <w:szCs w:val="21"/>
        </w:rPr>
        <w:t xml:space="preserve">Организатор торгов: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Финансовый </w:t>
      </w:r>
      <w:r>
        <w:rPr>
          <w:bCs/>
          <w:sz w:val="21"/>
          <w:szCs w:val="21"/>
        </w:rPr>
        <w:t xml:space="preserve">управляющий </w:t>
      </w:r>
      <w:r>
        <w:rPr>
          <w:bCs/>
          <w:sz w:val="21"/>
          <w:szCs w:val="21"/>
        </w:rPr>
        <w:t xml:space="preserve">гр. Иващука А.С.</w:t>
      </w:r>
      <w:r>
        <w:rPr>
          <w:bCs/>
          <w:sz w:val="21"/>
          <w:szCs w:val="21"/>
        </w:rPr>
        <w:t xml:space="preserve"> 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Гвоздкова Наталья Владимировна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А</w:t>
      </w:r>
      <w:r>
        <w:rPr>
          <w:bCs/>
          <w:sz w:val="21"/>
          <w:szCs w:val="21"/>
        </w:rPr>
        <w:t xml:space="preserve">дрес</w:t>
      </w:r>
      <w:r>
        <w:rPr>
          <w:bCs/>
          <w:sz w:val="21"/>
          <w:szCs w:val="21"/>
        </w:rPr>
        <w:t xml:space="preserve"> для корреспонденции</w:t>
      </w:r>
      <w:r>
        <w:rPr>
          <w:bCs/>
          <w:sz w:val="21"/>
          <w:szCs w:val="21"/>
        </w:rPr>
        <w:t xml:space="preserve">: 6440</w:t>
      </w:r>
      <w:r>
        <w:rPr>
          <w:bCs/>
          <w:sz w:val="21"/>
          <w:szCs w:val="21"/>
        </w:rPr>
        <w:t xml:space="preserve">43, г.</w:t>
      </w:r>
      <w:r>
        <w:rPr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 xml:space="preserve">Омск, а/я 3732</w:t>
      </w:r>
      <w:r>
        <w:rPr>
          <w:sz w:val="21"/>
          <w:szCs w:val="21"/>
        </w:rPr>
      </w:r>
      <w:r/>
    </w:p>
    <w:p>
      <w:pPr>
        <w:pStyle w:val="816"/>
        <w:spacing w:after="0" w:line="240" w:lineRule="auto"/>
        <w:rPr>
          <w:sz w:val="21"/>
          <w:szCs w:val="21"/>
          <w:highlight w:val="none"/>
        </w:rPr>
      </w:pPr>
      <w:r>
        <w:rPr>
          <w:b/>
          <w:color w:val="000000"/>
          <w:sz w:val="21"/>
          <w:szCs w:val="21"/>
        </w:rPr>
        <w:t xml:space="preserve">расчетный счет</w:t>
      </w:r>
      <w:r>
        <w:rPr>
          <w:b/>
          <w:sz w:val="21"/>
          <w:szCs w:val="21"/>
        </w:rPr>
        <w:t xml:space="preserve">: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Получатель: Гвоздкова Наталья Владимировна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р/с № 40817810350191897279 в ФИЛИАЛ "ЦЕНТРАЛЬНЫЙ" ПАО "СОВКОМБАНК"(БЕРДСК)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корр/с № 30101810150040000763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БИК 045004763</w:t>
      </w:r>
      <w:r>
        <w:rPr>
          <w:sz w:val="21"/>
          <w:szCs w:val="21"/>
        </w:rPr>
        <w:br/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Заявитель: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Адрес: 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Р/с _________________________________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БИК 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К/с _________________________________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ИНН 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sz w:val="21"/>
          <w:szCs w:val="21"/>
        </w:rPr>
        <w:t xml:space="preserve">ОГРН(ИП) 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  <w:r>
        <w:rPr>
          <w:sz w:val="21"/>
          <w:szCs w:val="21"/>
        </w:rPr>
      </w:r>
      <w:r/>
    </w:p>
    <w:p>
      <w:pPr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sz w:val="21"/>
          <w:szCs w:val="21"/>
        </w:rPr>
      </w:r>
      <w:r>
        <w:rPr>
          <w:b/>
          <w:sz w:val="21"/>
          <w:szCs w:val="21"/>
        </w:rPr>
      </w:r>
      <w:r/>
    </w:p>
    <w:p>
      <w:pPr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</w:r>
      <w:r>
        <w:rPr>
          <w:b/>
          <w:bCs/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            Организатор торгов:                                                            Заявитель: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 /Гвоздкова Н.В/</w:t>
        <w:tab/>
        <w:t xml:space="preserve">                                                __</w:t>
      </w:r>
      <w:r>
        <w:rPr>
          <w:sz w:val="21"/>
          <w:szCs w:val="21"/>
        </w:rPr>
        <w:t xml:space="preserve">_____________ /_______________/</w:t>
      </w:r>
      <w:r>
        <w:rPr>
          <w:sz w:val="21"/>
          <w:szCs w:val="21"/>
        </w:rPr>
      </w:r>
      <w:r/>
    </w:p>
    <w:sectPr>
      <w:footnotePr/>
      <w:endnotePr/>
      <w:type w:val="nextPage"/>
      <w:pgSz w:w="11906" w:h="16838" w:orient="portrait"/>
      <w:pgMar w:top="1077" w:right="748" w:bottom="776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ymbol">
    <w:panose1 w:val="05050102010706020507"/>
  </w:font>
  <w:font w:name="Wingdings">
    <w:panose1 w:val="05000000000000000000"/>
  </w:font>
  <w:font w:name="Mangal">
    <w:panose1 w:val="0204050305040603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17"/>
      <w:isLgl w:val="false"/>
      <w:suff w:val="nothing"/>
      <w:lvlText w:val=""/>
      <w:lvlJc w:val="left"/>
      <w:pPr>
        <w:pStyle w:val="816"/>
        <w:ind w:left="432" w:hanging="432"/>
        <w:tabs>
          <w:tab w:val="num" w:pos="0" w:leader="none"/>
        </w:tabs>
      </w:pPr>
    </w:lvl>
    <w:lvl w:ilvl="1">
      <w:start w:val="1"/>
      <w:numFmt w:val="decimal"/>
      <w:pStyle w:val="818"/>
      <w:isLgl w:val="false"/>
      <w:suff w:val="nothing"/>
      <w:lvlText w:val=""/>
      <w:lvlJc w:val="left"/>
      <w:pPr>
        <w:pStyle w:val="816"/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816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16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16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16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16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16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16"/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16"/>
        <w:ind w:left="720" w:hanging="360"/>
        <w:tabs>
          <w:tab w:val="num" w:pos="0" w:leader="none"/>
        </w:tabs>
      </w:pPr>
      <w:rPr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pStyle w:val="816"/>
        <w:ind w:left="1834" w:hanging="1125"/>
        <w:tabs>
          <w:tab w:val="num" w:pos="1834" w:leader="none"/>
        </w:tabs>
      </w:pPr>
      <w:rPr>
        <w:b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16"/>
        <w:ind w:left="2183" w:hanging="1125"/>
        <w:tabs>
          <w:tab w:val="num" w:pos="2183" w:leader="none"/>
        </w:tabs>
      </w:pPr>
      <w:rPr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pStyle w:val="816"/>
        <w:ind w:left="2532" w:hanging="1125"/>
        <w:tabs>
          <w:tab w:val="num" w:pos="2532" w:leader="none"/>
        </w:tabs>
      </w:pPr>
      <w:rPr>
        <w:sz w:val="24"/>
        <w:szCs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pStyle w:val="816"/>
        <w:ind w:left="2881" w:hanging="1125"/>
        <w:tabs>
          <w:tab w:val="num" w:pos="2881" w:leader="none"/>
        </w:tabs>
      </w:pPr>
      <w:rPr>
        <w:sz w:val="24"/>
        <w:szCs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pStyle w:val="816"/>
        <w:ind w:left="3230" w:hanging="1125"/>
        <w:tabs>
          <w:tab w:val="num" w:pos="3230" w:leader="none"/>
        </w:tabs>
      </w:pPr>
      <w:rPr>
        <w:sz w:val="24"/>
        <w:szCs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pStyle w:val="816"/>
        <w:ind w:left="3894" w:hanging="1440"/>
        <w:tabs>
          <w:tab w:val="num" w:pos="3894" w:leader="none"/>
        </w:tabs>
      </w:pPr>
      <w:rPr>
        <w:sz w:val="24"/>
        <w:szCs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16"/>
        <w:ind w:left="4243" w:hanging="1440"/>
        <w:tabs>
          <w:tab w:val="num" w:pos="4243" w:leader="none"/>
        </w:tabs>
      </w:pPr>
      <w:rPr>
        <w:sz w:val="24"/>
        <w:szCs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16"/>
        <w:ind w:left="4952" w:hanging="1800"/>
        <w:tabs>
          <w:tab w:val="num" w:pos="4952" w:leader="none"/>
        </w:tabs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6"/>
    <w:next w:val="816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9">
    <w:name w:val="Heading 1 Char"/>
    <w:link w:val="638"/>
    <w:uiPriority w:val="9"/>
    <w:rPr>
      <w:rFonts w:ascii="Arial" w:hAnsi="Arial" w:eastAsia="Arial" w:cs="Arial"/>
      <w:sz w:val="40"/>
      <w:szCs w:val="40"/>
    </w:rPr>
  </w:style>
  <w:style w:type="paragraph" w:styleId="640">
    <w:name w:val="Heading 2"/>
    <w:basedOn w:val="816"/>
    <w:next w:val="816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1">
    <w:name w:val="Heading 2 Char"/>
    <w:link w:val="640"/>
    <w:uiPriority w:val="9"/>
    <w:rPr>
      <w:rFonts w:ascii="Arial" w:hAnsi="Arial" w:eastAsia="Arial" w:cs="Arial"/>
      <w:sz w:val="34"/>
    </w:rPr>
  </w:style>
  <w:style w:type="paragraph" w:styleId="642">
    <w:name w:val="Heading 3"/>
    <w:basedOn w:val="816"/>
    <w:next w:val="816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3">
    <w:name w:val="Heading 3 Char"/>
    <w:link w:val="642"/>
    <w:uiPriority w:val="9"/>
    <w:rPr>
      <w:rFonts w:ascii="Arial" w:hAnsi="Arial" w:eastAsia="Arial" w:cs="Arial"/>
      <w:sz w:val="30"/>
      <w:szCs w:val="30"/>
    </w:rPr>
  </w:style>
  <w:style w:type="paragraph" w:styleId="644">
    <w:name w:val="Heading 4"/>
    <w:basedOn w:val="816"/>
    <w:next w:val="816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5">
    <w:name w:val="Heading 4 Char"/>
    <w:link w:val="644"/>
    <w:uiPriority w:val="9"/>
    <w:rPr>
      <w:rFonts w:ascii="Arial" w:hAnsi="Arial" w:eastAsia="Arial" w:cs="Arial"/>
      <w:b/>
      <w:bCs/>
      <w:sz w:val="26"/>
      <w:szCs w:val="26"/>
    </w:rPr>
  </w:style>
  <w:style w:type="paragraph" w:styleId="646">
    <w:name w:val="Heading 5"/>
    <w:basedOn w:val="816"/>
    <w:next w:val="816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7">
    <w:name w:val="Heading 5 Char"/>
    <w:link w:val="646"/>
    <w:uiPriority w:val="9"/>
    <w:rPr>
      <w:rFonts w:ascii="Arial" w:hAnsi="Arial" w:eastAsia="Arial" w:cs="Arial"/>
      <w:b/>
      <w:bCs/>
      <w:sz w:val="24"/>
      <w:szCs w:val="24"/>
    </w:rPr>
  </w:style>
  <w:style w:type="paragraph" w:styleId="648">
    <w:name w:val="Heading 6"/>
    <w:basedOn w:val="816"/>
    <w:next w:val="816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9">
    <w:name w:val="Heading 6 Char"/>
    <w:link w:val="648"/>
    <w:uiPriority w:val="9"/>
    <w:rPr>
      <w:rFonts w:ascii="Arial" w:hAnsi="Arial" w:eastAsia="Arial" w:cs="Arial"/>
      <w:b/>
      <w:bCs/>
      <w:sz w:val="22"/>
      <w:szCs w:val="22"/>
    </w:rPr>
  </w:style>
  <w:style w:type="paragraph" w:styleId="650">
    <w:name w:val="Heading 7"/>
    <w:basedOn w:val="816"/>
    <w:next w:val="816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1">
    <w:name w:val="Heading 7 Char"/>
    <w:link w:val="6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2">
    <w:name w:val="Heading 8"/>
    <w:basedOn w:val="816"/>
    <w:next w:val="816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3">
    <w:name w:val="Heading 8 Char"/>
    <w:link w:val="652"/>
    <w:uiPriority w:val="9"/>
    <w:rPr>
      <w:rFonts w:ascii="Arial" w:hAnsi="Arial" w:eastAsia="Arial" w:cs="Arial"/>
      <w:i/>
      <w:iCs/>
      <w:sz w:val="22"/>
      <w:szCs w:val="22"/>
    </w:rPr>
  </w:style>
  <w:style w:type="paragraph" w:styleId="654">
    <w:name w:val="Heading 9"/>
    <w:basedOn w:val="816"/>
    <w:next w:val="816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5">
    <w:name w:val="Heading 9 Char"/>
    <w:link w:val="654"/>
    <w:uiPriority w:val="9"/>
    <w:rPr>
      <w:rFonts w:ascii="Arial" w:hAnsi="Arial" w:eastAsia="Arial" w:cs="Arial"/>
      <w:i/>
      <w:iCs/>
      <w:sz w:val="21"/>
      <w:szCs w:val="21"/>
    </w:rPr>
  </w:style>
  <w:style w:type="paragraph" w:styleId="656">
    <w:name w:val="List Paragraph"/>
    <w:basedOn w:val="816"/>
    <w:uiPriority w:val="34"/>
    <w:qFormat/>
    <w:pPr>
      <w:contextualSpacing/>
      <w:ind w:left="720"/>
    </w:pPr>
  </w:style>
  <w:style w:type="paragraph" w:styleId="657">
    <w:name w:val="No Spacing"/>
    <w:uiPriority w:val="1"/>
    <w:qFormat/>
    <w:pPr>
      <w:spacing w:before="0" w:after="0" w:line="240" w:lineRule="auto"/>
    </w:pPr>
  </w:style>
  <w:style w:type="paragraph" w:styleId="658">
    <w:name w:val="Title"/>
    <w:basedOn w:val="816"/>
    <w:next w:val="816"/>
    <w:link w:val="6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9">
    <w:name w:val="Title Char"/>
    <w:link w:val="658"/>
    <w:uiPriority w:val="10"/>
    <w:rPr>
      <w:sz w:val="48"/>
      <w:szCs w:val="48"/>
    </w:rPr>
  </w:style>
  <w:style w:type="paragraph" w:styleId="660">
    <w:name w:val="Subtitle"/>
    <w:basedOn w:val="816"/>
    <w:next w:val="816"/>
    <w:link w:val="661"/>
    <w:uiPriority w:val="11"/>
    <w:qFormat/>
    <w:pPr>
      <w:spacing w:before="200" w:after="200"/>
    </w:pPr>
    <w:rPr>
      <w:sz w:val="24"/>
      <w:szCs w:val="24"/>
    </w:rPr>
  </w:style>
  <w:style w:type="character" w:styleId="661">
    <w:name w:val="Subtitle Char"/>
    <w:link w:val="660"/>
    <w:uiPriority w:val="11"/>
    <w:rPr>
      <w:sz w:val="24"/>
      <w:szCs w:val="24"/>
    </w:rPr>
  </w:style>
  <w:style w:type="paragraph" w:styleId="662">
    <w:name w:val="Quote"/>
    <w:basedOn w:val="816"/>
    <w:next w:val="816"/>
    <w:link w:val="663"/>
    <w:uiPriority w:val="29"/>
    <w:qFormat/>
    <w:pPr>
      <w:ind w:left="720" w:right="720"/>
    </w:pPr>
    <w:rPr>
      <w:i/>
    </w:rPr>
  </w:style>
  <w:style w:type="character" w:styleId="663">
    <w:name w:val="Quote Char"/>
    <w:link w:val="662"/>
    <w:uiPriority w:val="29"/>
    <w:rPr>
      <w:i/>
    </w:rPr>
  </w:style>
  <w:style w:type="paragraph" w:styleId="664">
    <w:name w:val="Intense Quote"/>
    <w:basedOn w:val="816"/>
    <w:next w:val="816"/>
    <w:link w:val="66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5">
    <w:name w:val="Intense Quote Char"/>
    <w:link w:val="664"/>
    <w:uiPriority w:val="30"/>
    <w:rPr>
      <w:i/>
    </w:rPr>
  </w:style>
  <w:style w:type="paragraph" w:styleId="666">
    <w:name w:val="Header"/>
    <w:basedOn w:val="816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Header Char"/>
    <w:link w:val="666"/>
    <w:uiPriority w:val="99"/>
  </w:style>
  <w:style w:type="paragraph" w:styleId="668">
    <w:name w:val="Footer"/>
    <w:basedOn w:val="816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Footer Char"/>
    <w:link w:val="668"/>
    <w:uiPriority w:val="99"/>
  </w:style>
  <w:style w:type="paragraph" w:styleId="670">
    <w:name w:val="Caption"/>
    <w:basedOn w:val="816"/>
    <w:next w:val="8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1">
    <w:name w:val="Caption Char"/>
    <w:basedOn w:val="670"/>
    <w:link w:val="668"/>
    <w:uiPriority w:val="99"/>
  </w:style>
  <w:style w:type="table" w:styleId="67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816"/>
    <w:link w:val="800"/>
    <w:uiPriority w:val="99"/>
    <w:semiHidden/>
    <w:unhideWhenUsed/>
    <w:pPr>
      <w:spacing w:after="40" w:line="240" w:lineRule="auto"/>
    </w:pPr>
    <w:rPr>
      <w:sz w:val="18"/>
    </w:rPr>
  </w:style>
  <w:style w:type="character" w:styleId="800">
    <w:name w:val="Footnote Text Char"/>
    <w:link w:val="799"/>
    <w:uiPriority w:val="99"/>
    <w:rPr>
      <w:sz w:val="18"/>
    </w:rPr>
  </w:style>
  <w:style w:type="character" w:styleId="801">
    <w:name w:val="footnote reference"/>
    <w:uiPriority w:val="99"/>
    <w:unhideWhenUsed/>
    <w:rPr>
      <w:vertAlign w:val="superscript"/>
    </w:rPr>
  </w:style>
  <w:style w:type="paragraph" w:styleId="802">
    <w:name w:val="endnote text"/>
    <w:basedOn w:val="816"/>
    <w:link w:val="803"/>
    <w:uiPriority w:val="99"/>
    <w:semiHidden/>
    <w:unhideWhenUsed/>
    <w:pPr>
      <w:spacing w:after="0" w:line="240" w:lineRule="auto"/>
    </w:pPr>
    <w:rPr>
      <w:sz w:val="20"/>
    </w:rPr>
  </w:style>
  <w:style w:type="character" w:styleId="803">
    <w:name w:val="Endnote Text Char"/>
    <w:link w:val="802"/>
    <w:uiPriority w:val="99"/>
    <w:rPr>
      <w:sz w:val="20"/>
    </w:rPr>
  </w:style>
  <w:style w:type="character" w:styleId="804">
    <w:name w:val="endnote reference"/>
    <w:uiPriority w:val="99"/>
    <w:semiHidden/>
    <w:unhideWhenUsed/>
    <w:rPr>
      <w:vertAlign w:val="superscript"/>
    </w:rPr>
  </w:style>
  <w:style w:type="paragraph" w:styleId="805">
    <w:name w:val="toc 1"/>
    <w:basedOn w:val="816"/>
    <w:next w:val="816"/>
    <w:uiPriority w:val="39"/>
    <w:unhideWhenUsed/>
    <w:pPr>
      <w:ind w:left="0" w:right="0" w:firstLine="0"/>
      <w:spacing w:after="57"/>
    </w:pPr>
  </w:style>
  <w:style w:type="paragraph" w:styleId="806">
    <w:name w:val="toc 2"/>
    <w:basedOn w:val="816"/>
    <w:next w:val="816"/>
    <w:uiPriority w:val="39"/>
    <w:unhideWhenUsed/>
    <w:pPr>
      <w:ind w:left="283" w:right="0" w:firstLine="0"/>
      <w:spacing w:after="57"/>
    </w:pPr>
  </w:style>
  <w:style w:type="paragraph" w:styleId="807">
    <w:name w:val="toc 3"/>
    <w:basedOn w:val="816"/>
    <w:next w:val="816"/>
    <w:uiPriority w:val="39"/>
    <w:unhideWhenUsed/>
    <w:pPr>
      <w:ind w:left="567" w:right="0" w:firstLine="0"/>
      <w:spacing w:after="57"/>
    </w:pPr>
  </w:style>
  <w:style w:type="paragraph" w:styleId="808">
    <w:name w:val="toc 4"/>
    <w:basedOn w:val="816"/>
    <w:next w:val="816"/>
    <w:uiPriority w:val="39"/>
    <w:unhideWhenUsed/>
    <w:pPr>
      <w:ind w:left="850" w:right="0" w:firstLine="0"/>
      <w:spacing w:after="57"/>
    </w:pPr>
  </w:style>
  <w:style w:type="paragraph" w:styleId="809">
    <w:name w:val="toc 5"/>
    <w:basedOn w:val="816"/>
    <w:next w:val="816"/>
    <w:uiPriority w:val="39"/>
    <w:unhideWhenUsed/>
    <w:pPr>
      <w:ind w:left="1134" w:right="0" w:firstLine="0"/>
      <w:spacing w:after="57"/>
    </w:pPr>
  </w:style>
  <w:style w:type="paragraph" w:styleId="810">
    <w:name w:val="toc 6"/>
    <w:basedOn w:val="816"/>
    <w:next w:val="816"/>
    <w:uiPriority w:val="39"/>
    <w:unhideWhenUsed/>
    <w:pPr>
      <w:ind w:left="1417" w:right="0" w:firstLine="0"/>
      <w:spacing w:after="57"/>
    </w:pPr>
  </w:style>
  <w:style w:type="paragraph" w:styleId="811">
    <w:name w:val="toc 7"/>
    <w:basedOn w:val="816"/>
    <w:next w:val="816"/>
    <w:uiPriority w:val="39"/>
    <w:unhideWhenUsed/>
    <w:pPr>
      <w:ind w:left="1701" w:right="0" w:firstLine="0"/>
      <w:spacing w:after="57"/>
    </w:pPr>
  </w:style>
  <w:style w:type="paragraph" w:styleId="812">
    <w:name w:val="toc 8"/>
    <w:basedOn w:val="816"/>
    <w:next w:val="816"/>
    <w:uiPriority w:val="39"/>
    <w:unhideWhenUsed/>
    <w:pPr>
      <w:ind w:left="1984" w:right="0" w:firstLine="0"/>
      <w:spacing w:after="57"/>
    </w:pPr>
  </w:style>
  <w:style w:type="paragraph" w:styleId="813">
    <w:name w:val="toc 9"/>
    <w:basedOn w:val="816"/>
    <w:next w:val="816"/>
    <w:uiPriority w:val="39"/>
    <w:unhideWhenUsed/>
    <w:pPr>
      <w:ind w:left="2268" w:right="0" w:firstLine="0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816"/>
    <w:next w:val="816"/>
    <w:uiPriority w:val="99"/>
    <w:unhideWhenUsed/>
    <w:pPr>
      <w:spacing w:after="0" w:afterAutospacing="0"/>
    </w:pPr>
  </w:style>
  <w:style w:type="paragraph" w:styleId="816" w:default="1">
    <w:name w:val="Normal"/>
    <w:next w:val="816"/>
    <w:link w:val="816"/>
    <w:qFormat/>
    <w:pPr>
      <w:spacing w:after="200" w:line="276" w:lineRule="auto"/>
    </w:pPr>
    <w:rPr>
      <w:sz w:val="22"/>
      <w:szCs w:val="22"/>
      <w:lang w:val="ru-RU" w:eastAsia="ar-SA" w:bidi="ar-SA"/>
    </w:rPr>
  </w:style>
  <w:style w:type="paragraph" w:styleId="817">
    <w:name w:val="Заголовок 1"/>
    <w:basedOn w:val="816"/>
    <w:next w:val="816"/>
    <w:link w:val="816"/>
    <w:qFormat/>
    <w:pPr>
      <w:numPr>
        <w:ilvl w:val="0"/>
        <w:numId w:val="1"/>
      </w:numPr>
      <w:jc w:val="both"/>
      <w:keepNext/>
      <w:spacing w:before="0" w:after="0" w:line="240" w:lineRule="auto"/>
      <w:outlineLvl w:val="0"/>
    </w:pPr>
    <w:rPr>
      <w:rFonts w:ascii="Times New Roman" w:hAnsi="Times New Roman" w:cs="Times New Roman"/>
      <w:b/>
      <w:bCs/>
      <w:sz w:val="24"/>
      <w:szCs w:val="20"/>
    </w:rPr>
  </w:style>
  <w:style w:type="paragraph" w:styleId="818">
    <w:name w:val="Заголовок 2"/>
    <w:basedOn w:val="816"/>
    <w:next w:val="816"/>
    <w:link w:val="816"/>
    <w:qFormat/>
    <w:pPr>
      <w:numPr>
        <w:ilvl w:val="1"/>
        <w:numId w:val="1"/>
      </w:numPr>
      <w:jc w:val="center"/>
      <w:keepNext/>
      <w:spacing w:before="0" w:after="0" w:line="240" w:lineRule="auto"/>
      <w:outlineLvl w:val="1"/>
    </w:pPr>
    <w:rPr>
      <w:rFonts w:ascii="Courier New" w:hAnsi="Courier New" w:cs="Courier New"/>
      <w:b/>
      <w:sz w:val="26"/>
      <w:szCs w:val="26"/>
    </w:rPr>
  </w:style>
  <w:style w:type="character" w:styleId="819">
    <w:name w:val="Основной шрифт абзаца"/>
    <w:next w:val="819"/>
    <w:link w:val="816"/>
    <w:uiPriority w:val="1"/>
    <w:unhideWhenUsed/>
  </w:style>
  <w:style w:type="table" w:styleId="820">
    <w:name w:val="Обычная таблица"/>
    <w:next w:val="820"/>
    <w:link w:val="816"/>
    <w:uiPriority w:val="99"/>
    <w:semiHidden/>
    <w:unhideWhenUsed/>
    <w:tblPr/>
  </w:style>
  <w:style w:type="numbering" w:styleId="821">
    <w:name w:val="Нет списка"/>
    <w:next w:val="821"/>
    <w:link w:val="816"/>
    <w:uiPriority w:val="99"/>
    <w:semiHidden/>
    <w:unhideWhenUsed/>
  </w:style>
  <w:style w:type="character" w:styleId="822">
    <w:name w:val="WW8Num1z0"/>
    <w:next w:val="822"/>
    <w:link w:val="816"/>
  </w:style>
  <w:style w:type="character" w:styleId="823">
    <w:name w:val="WW8Num1z1"/>
    <w:next w:val="823"/>
    <w:link w:val="816"/>
  </w:style>
  <w:style w:type="character" w:styleId="824">
    <w:name w:val="WW8Num1z2"/>
    <w:next w:val="824"/>
    <w:link w:val="816"/>
  </w:style>
  <w:style w:type="character" w:styleId="825">
    <w:name w:val="WW8Num1z3"/>
    <w:next w:val="825"/>
    <w:link w:val="816"/>
  </w:style>
  <w:style w:type="character" w:styleId="826">
    <w:name w:val="WW8Num1z4"/>
    <w:next w:val="826"/>
    <w:link w:val="816"/>
  </w:style>
  <w:style w:type="character" w:styleId="827">
    <w:name w:val="WW8Num1z5"/>
    <w:next w:val="827"/>
    <w:link w:val="816"/>
  </w:style>
  <w:style w:type="character" w:styleId="828">
    <w:name w:val="WW8Num1z6"/>
    <w:next w:val="828"/>
    <w:link w:val="816"/>
  </w:style>
  <w:style w:type="character" w:styleId="829">
    <w:name w:val="WW8Num1z7"/>
    <w:next w:val="829"/>
    <w:link w:val="816"/>
  </w:style>
  <w:style w:type="character" w:styleId="830">
    <w:name w:val="WW8Num1z8"/>
    <w:next w:val="830"/>
    <w:link w:val="816"/>
  </w:style>
  <w:style w:type="character" w:styleId="831">
    <w:name w:val="WW8Num2z0"/>
    <w:next w:val="831"/>
    <w:link w:val="816"/>
    <w:rPr>
      <w:sz w:val="24"/>
      <w:szCs w:val="24"/>
    </w:rPr>
  </w:style>
  <w:style w:type="character" w:styleId="832">
    <w:name w:val="WW8Num3z0"/>
    <w:next w:val="832"/>
    <w:link w:val="816"/>
    <w:rPr>
      <w:b w:val="0"/>
      <w:i w:val="0"/>
      <w:sz w:val="24"/>
    </w:rPr>
  </w:style>
  <w:style w:type="character" w:styleId="833">
    <w:name w:val="WW8Num4z0"/>
    <w:next w:val="833"/>
    <w:link w:val="816"/>
    <w:rPr>
      <w:rFonts w:ascii="Courier New" w:hAnsi="Courier New" w:cs="Courier New"/>
    </w:rPr>
  </w:style>
  <w:style w:type="character" w:styleId="834">
    <w:name w:val="WW8Num4z2"/>
    <w:next w:val="834"/>
    <w:link w:val="816"/>
    <w:rPr>
      <w:rFonts w:ascii="Wingdings" w:hAnsi="Wingdings" w:cs="Wingdings"/>
    </w:rPr>
  </w:style>
  <w:style w:type="character" w:styleId="835">
    <w:name w:val="WW8Num4z3"/>
    <w:next w:val="835"/>
    <w:link w:val="816"/>
    <w:rPr>
      <w:rFonts w:ascii="Symbol" w:hAnsi="Symbol" w:cs="Symbol"/>
    </w:rPr>
  </w:style>
  <w:style w:type="character" w:styleId="836">
    <w:name w:val="Основной шрифт абзаца1"/>
    <w:next w:val="836"/>
    <w:link w:val="816"/>
  </w:style>
  <w:style w:type="character" w:styleId="837">
    <w:name w:val="Заголовок 1 Знак"/>
    <w:next w:val="837"/>
    <w:link w:val="816"/>
    <w:rPr>
      <w:rFonts w:ascii="Times New Roman" w:hAnsi="Times New Roman" w:cs="Times New Roman"/>
      <w:b/>
      <w:bCs/>
      <w:sz w:val="24"/>
    </w:rPr>
  </w:style>
  <w:style w:type="character" w:styleId="838">
    <w:name w:val="Название Знак"/>
    <w:next w:val="838"/>
    <w:link w:val="816"/>
    <w:rPr>
      <w:rFonts w:ascii="Times New Roman" w:hAnsi="Times New Roman" w:cs="Times New Roman"/>
      <w:b/>
      <w:bCs/>
      <w:sz w:val="24"/>
    </w:rPr>
  </w:style>
  <w:style w:type="character" w:styleId="839">
    <w:name w:val="Основной текст с отступом Знак"/>
    <w:next w:val="839"/>
    <w:link w:val="816"/>
    <w:rPr>
      <w:rFonts w:ascii="Times New Roman" w:hAnsi="Times New Roman" w:cs="Times New Roman"/>
      <w:sz w:val="24"/>
    </w:rPr>
  </w:style>
  <w:style w:type="character" w:styleId="840">
    <w:name w:val="Заголовок 2 Знак"/>
    <w:next w:val="840"/>
    <w:link w:val="816"/>
    <w:rPr>
      <w:rFonts w:ascii="Courier New" w:hAnsi="Courier New" w:cs="Courier New"/>
      <w:b/>
      <w:sz w:val="26"/>
      <w:szCs w:val="26"/>
    </w:rPr>
  </w:style>
  <w:style w:type="character" w:styleId="841">
    <w:name w:val="Верхний колонтитул Знак"/>
    <w:next w:val="841"/>
    <w:link w:val="816"/>
    <w:rPr>
      <w:sz w:val="24"/>
      <w:szCs w:val="24"/>
    </w:rPr>
  </w:style>
  <w:style w:type="character" w:styleId="842">
    <w:name w:val="Нижний колонтитул Знак"/>
    <w:next w:val="842"/>
    <w:link w:val="816"/>
    <w:rPr>
      <w:sz w:val="22"/>
      <w:szCs w:val="22"/>
    </w:rPr>
  </w:style>
  <w:style w:type="character" w:styleId="843">
    <w:name w:val="Текст выноски Знак"/>
    <w:next w:val="843"/>
    <w:link w:val="816"/>
    <w:rPr>
      <w:rFonts w:ascii="Tahoma" w:hAnsi="Tahoma" w:cs="Tahoma"/>
      <w:sz w:val="16"/>
      <w:szCs w:val="16"/>
    </w:rPr>
  </w:style>
  <w:style w:type="character" w:styleId="844">
    <w:name w:val="Текст выноски Знак1"/>
    <w:next w:val="844"/>
    <w:link w:val="816"/>
    <w:rPr>
      <w:rFonts w:ascii="Tahoma" w:hAnsi="Tahoma" w:cs="Tahoma"/>
      <w:sz w:val="16"/>
      <w:szCs w:val="16"/>
    </w:rPr>
  </w:style>
  <w:style w:type="character" w:styleId="845">
    <w:name w:val="Гиперссылка"/>
    <w:next w:val="845"/>
    <w:link w:val="816"/>
    <w:rPr>
      <w:color w:val="0000ff"/>
      <w:u w:val="single"/>
    </w:rPr>
  </w:style>
  <w:style w:type="paragraph" w:styleId="846">
    <w:name w:val="Основной текст"/>
    <w:basedOn w:val="816"/>
    <w:next w:val="846"/>
    <w:link w:val="816"/>
    <w:pPr>
      <w:spacing w:before="0" w:after="120"/>
    </w:pPr>
  </w:style>
  <w:style w:type="paragraph" w:styleId="847">
    <w:name w:val="Список"/>
    <w:basedOn w:val="846"/>
    <w:next w:val="847"/>
    <w:link w:val="816"/>
    <w:rPr>
      <w:rFonts w:cs="Mangal"/>
    </w:rPr>
  </w:style>
  <w:style w:type="paragraph" w:styleId="848">
    <w:name w:val="Название1"/>
    <w:basedOn w:val="816"/>
    <w:next w:val="848"/>
    <w:link w:val="816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49">
    <w:name w:val="Указатель1"/>
    <w:basedOn w:val="816"/>
    <w:next w:val="849"/>
    <w:link w:val="816"/>
    <w:pPr>
      <w:suppressLineNumbers/>
    </w:pPr>
    <w:rPr>
      <w:rFonts w:cs="Mangal"/>
    </w:rPr>
  </w:style>
  <w:style w:type="paragraph" w:styleId="850">
    <w:name w:val="Название"/>
    <w:basedOn w:val="816"/>
    <w:next w:val="851"/>
    <w:link w:val="816"/>
    <w:qFormat/>
    <w:pPr>
      <w:jc w:val="center"/>
      <w:spacing w:before="0" w:after="0" w:line="240" w:lineRule="auto"/>
    </w:pPr>
    <w:rPr>
      <w:rFonts w:ascii="Times New Roman" w:hAnsi="Times New Roman" w:cs="Times New Roman"/>
      <w:b/>
      <w:bCs/>
      <w:sz w:val="24"/>
      <w:szCs w:val="20"/>
    </w:rPr>
  </w:style>
  <w:style w:type="paragraph" w:styleId="851">
    <w:name w:val="Подзаголовок"/>
    <w:basedOn w:val="850"/>
    <w:next w:val="846"/>
    <w:link w:val="816"/>
    <w:qFormat/>
    <w:pPr>
      <w:jc w:val="center"/>
    </w:pPr>
    <w:rPr>
      <w:i/>
      <w:iCs/>
      <w:sz w:val="28"/>
      <w:szCs w:val="28"/>
    </w:rPr>
  </w:style>
  <w:style w:type="paragraph" w:styleId="852">
    <w:name w:val="Основной текст с отступом"/>
    <w:basedOn w:val="816"/>
    <w:next w:val="852"/>
    <w:link w:val="816"/>
    <w:pPr>
      <w:ind w:left="0" w:right="0" w:firstLine="709"/>
      <w:jc w:val="both"/>
      <w:spacing w:before="0"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853">
    <w:name w:val="ConsNonformat"/>
    <w:next w:val="853"/>
    <w:link w:val="816"/>
    <w:pPr>
      <w:widowControl w:val="off"/>
    </w:pPr>
    <w:rPr>
      <w:rFonts w:ascii="Courier New" w:hAnsi="Courier New" w:cs="Courier New"/>
      <w:lang w:val="ru-RU" w:eastAsia="ar-SA" w:bidi="ar-SA"/>
    </w:rPr>
  </w:style>
  <w:style w:type="paragraph" w:styleId="854">
    <w:name w:val="Верхний колонтитул"/>
    <w:basedOn w:val="816"/>
    <w:next w:val="854"/>
    <w:link w:val="816"/>
    <w:pPr>
      <w:spacing w:before="0" w:after="0" w:line="240" w:lineRule="auto"/>
      <w:tabs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855">
    <w:name w:val="Нижний колонтитул"/>
    <w:basedOn w:val="816"/>
    <w:next w:val="855"/>
    <w:link w:val="816"/>
    <w:pPr>
      <w:tabs>
        <w:tab w:val="center" w:pos="4677" w:leader="none"/>
        <w:tab w:val="right" w:pos="9355" w:leader="none"/>
      </w:tabs>
    </w:pPr>
  </w:style>
  <w:style w:type="paragraph" w:styleId="856">
    <w:name w:val="Текст выноски"/>
    <w:basedOn w:val="816"/>
    <w:next w:val="856"/>
    <w:link w:val="81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857">
    <w:name w:val="WW-Текст выноски"/>
    <w:basedOn w:val="816"/>
    <w:next w:val="857"/>
    <w:link w:val="816"/>
    <w:pPr>
      <w:spacing w:before="0"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858">
    <w:name w:val="Без интервала"/>
    <w:next w:val="858"/>
    <w:link w:val="816"/>
    <w:qFormat/>
    <w:rPr>
      <w:sz w:val="22"/>
      <w:szCs w:val="22"/>
      <w:lang w:val="ru-RU" w:eastAsia="ar-SA" w:bidi="ar-SA"/>
    </w:rPr>
  </w:style>
  <w:style w:type="paragraph" w:styleId="859">
    <w:name w:val="Содержимое таблицы"/>
    <w:basedOn w:val="816"/>
    <w:next w:val="859"/>
    <w:link w:val="816"/>
    <w:pPr>
      <w:suppressLineNumbers/>
    </w:pPr>
  </w:style>
  <w:style w:type="paragraph" w:styleId="860">
    <w:name w:val="Заголовок таблицы"/>
    <w:basedOn w:val="859"/>
    <w:next w:val="860"/>
    <w:link w:val="816"/>
    <w:pPr>
      <w:jc w:val="center"/>
      <w:suppressLineNumbers/>
    </w:pPr>
    <w:rPr>
      <w:b/>
      <w:bCs/>
    </w:rPr>
  </w:style>
  <w:style w:type="paragraph" w:styleId="861">
    <w:name w:val="Текст сноски"/>
    <w:basedOn w:val="816"/>
    <w:next w:val="861"/>
    <w:link w:val="862"/>
    <w:uiPriority w:val="99"/>
    <w:semiHidden/>
    <w:unhideWhenUsed/>
    <w:rPr>
      <w:sz w:val="20"/>
      <w:szCs w:val="20"/>
    </w:rPr>
  </w:style>
  <w:style w:type="character" w:styleId="862">
    <w:name w:val="Текст сноски Знак"/>
    <w:next w:val="862"/>
    <w:link w:val="861"/>
    <w:uiPriority w:val="99"/>
    <w:semiHidden/>
    <w:rPr>
      <w:lang w:eastAsia="ar-SA"/>
    </w:rPr>
  </w:style>
  <w:style w:type="character" w:styleId="863" w:default="1">
    <w:name w:val="Default Paragraph Font"/>
    <w:uiPriority w:val="1"/>
    <w:semiHidden/>
    <w:unhideWhenUsed/>
  </w:style>
  <w:style w:type="numbering" w:styleId="864" w:default="1">
    <w:name w:val="No List"/>
    <w:uiPriority w:val="99"/>
    <w:semiHidden/>
    <w:unhideWhenUsed/>
  </w:style>
  <w:style w:type="table" w:styleId="86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М.Н.П.</dc:creator>
  <cp:revision>36</cp:revision>
  <dcterms:created xsi:type="dcterms:W3CDTF">2017-03-17T11:17:00Z</dcterms:created>
  <dcterms:modified xsi:type="dcterms:W3CDTF">2026-08-17T08:50:27Z</dcterms:modified>
  <cp:version>917504</cp:version>
</cp:coreProperties>
</file>