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 xml:space="preserve">Договор о задатке </w:t>
      </w:r>
    </w:p>
    <w:p>
      <w:pPr>
        <w:pStyle w:val="Style15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Style15"/>
        <w:rPr/>
      </w:pPr>
      <w:r>
        <w:rPr>
          <w:sz w:val="20"/>
          <w:szCs w:val="20"/>
        </w:rPr>
        <w:t>г. Владимир                                                                                                                  «___» ____________ 202</w:t>
      </w:r>
      <w:r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>
      <w:pPr>
        <w:pStyle w:val="Style1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15"/>
        <w:ind w:firstLine="709"/>
        <w:rPr/>
      </w:pPr>
      <w:r>
        <w:rPr>
          <w:sz w:val="22"/>
          <w:szCs w:val="22"/>
        </w:rPr>
        <w:t xml:space="preserve">Финансовый управляющий Мизин Алексей Сергеевич (ИНН 332909437783, СНИЛС 151-383-934 62, почтовый адрес: 600017, г. Владимир, ул. Гороховая, д. 9, этаж 3,  адрес электронной почты: am@legalstrategy.ru, +79045971370, действующий на Положения о прядке, сроках и условиях продажи имущества, именуемый далее </w:t>
      </w:r>
      <w:r>
        <w:rPr>
          <w:b/>
          <w:sz w:val="22"/>
          <w:szCs w:val="22"/>
        </w:rPr>
        <w:t>«Организатор торгов»</w:t>
      </w:r>
      <w:r>
        <w:rPr>
          <w:sz w:val="22"/>
          <w:szCs w:val="22"/>
        </w:rPr>
        <w:t xml:space="preserve">, </w:t>
      </w:r>
    </w:p>
    <w:p>
      <w:pPr>
        <w:pStyle w:val="Style15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и _____________, именуемый в дальнейшем </w:t>
      </w:r>
      <w:r>
        <w:rPr>
          <w:b/>
          <w:sz w:val="22"/>
          <w:szCs w:val="22"/>
        </w:rPr>
        <w:t>«Претендент»</w:t>
      </w:r>
      <w:r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 с другой стороны, вместе именуемые </w:t>
      </w:r>
      <w:r>
        <w:rPr>
          <w:b/>
          <w:sz w:val="22"/>
          <w:szCs w:val="22"/>
        </w:rPr>
        <w:t>«Стороны»,</w:t>
      </w:r>
      <w:r>
        <w:rPr>
          <w:sz w:val="22"/>
          <w:szCs w:val="22"/>
        </w:rPr>
        <w:t xml:space="preserve"> заключили настоящий договор о нижеследующем:</w:t>
      </w:r>
    </w:p>
    <w:p>
      <w:pPr>
        <w:pStyle w:val="Style15"/>
        <w:ind w:firstLine="70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yle15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Cs/>
          <w:spacing w:val="-2"/>
        </w:rPr>
      </w:pPr>
      <w:r>
        <w:rPr>
          <w:rFonts w:eastAsia="Arial Unicode MS" w:cs="Times New Roman" w:ascii="Times New Roman" w:hAnsi="Times New Roman"/>
          <w:kern w:val="2"/>
        </w:rPr>
        <w:t>1.1. Претендент для участия в электронных открытых торгах, обязуется перечислить на счет, указанный в п. 1.2 настоящего договора задаток в размере</w:t>
      </w:r>
      <w:r>
        <w:rPr>
          <w:rFonts w:cs="Times New Roman" w:ascii="Times New Roman" w:hAnsi="Times New Roman"/>
        </w:rPr>
        <w:t xml:space="preserve"> 10% от начальной цены продажи лота установленной на соответствующем этапе проведения торгов Лота №</w:t>
      </w:r>
      <w:r>
        <w:rPr>
          <w:rFonts w:cs="Times New Roman" w:ascii="Times New Roman" w:hAnsi="Times New Roman"/>
          <w:b/>
          <w:u w:val="single"/>
        </w:rPr>
        <w:t>____(__)</w:t>
      </w:r>
      <w:r>
        <w:rPr>
          <w:rFonts w:cs="Times New Roman" w:ascii="Times New Roman" w:hAnsi="Times New Roman"/>
          <w:b/>
        </w:rPr>
        <w:t>, НДС не облагается,</w:t>
      </w:r>
      <w:r>
        <w:rPr>
          <w:rFonts w:eastAsia="Arial Unicode MS" w:cs="Times New Roman" w:ascii="Times New Roman" w:hAnsi="Times New Roman"/>
          <w:kern w:val="2"/>
        </w:rPr>
        <w:t xml:space="preserve"> </w:t>
      </w:r>
      <w:r>
        <w:rPr>
          <w:rFonts w:cs="Times New Roman" w:ascii="Times New Roman" w:hAnsi="Times New Roman"/>
          <w:bCs/>
          <w:spacing w:val="-2"/>
        </w:rPr>
        <w:t xml:space="preserve">в срок до истечения срока подачи заявок на участие в торгах.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Arial Unicode MS" w:cs="Times New Roman" w:ascii="Times New Roman" w:hAnsi="Times New Roman"/>
          <w:kern w:val="2"/>
        </w:rPr>
        <w:t xml:space="preserve">1.2. Задаток вносится Претендентом в качестве обеспечения участия претендента в электронных открытых торгах в форме аукциона с открытой формой подачи предложения о цене по продаже имущества входящего в состав лота № ___ на специальный банковский счет: </w:t>
      </w:r>
      <w:r>
        <w:rPr>
          <w:rFonts w:cs="Times New Roman" w:ascii="Times New Roman" w:hAnsi="Times New Roman"/>
          <w:b/>
          <w:bCs/>
          <w:spacing w:val="-2"/>
          <w:sz w:val="22"/>
          <w:szCs w:val="22"/>
        </w:rPr>
        <w:t>р/сч: 40702810729330000981, Банк: АО "Альфа-Банк" (Филиал "Нижегородский"), БИК 042202824, кор/счет: 30101810200000000, получатель: ООО "Аукционы Федерации".</w:t>
      </w:r>
    </w:p>
    <w:p>
      <w:pPr>
        <w:pStyle w:val="ConsNonformat"/>
        <w:ind w:firstLine="567"/>
        <w:jc w:val="both"/>
        <w:rPr>
          <w:rFonts w:ascii="Times New Roman" w:hAnsi="Times New Roman" w:cs="Times New Roman"/>
          <w:b/>
          <w:b/>
          <w:bCs/>
          <w:spacing w:val="-2"/>
          <w:sz w:val="22"/>
          <w:szCs w:val="22"/>
        </w:rPr>
      </w:pPr>
      <w:r>
        <w:rPr>
          <w:rFonts w:cs="Times New Roman" w:ascii="Times New Roman" w:hAnsi="Times New Roman"/>
          <w:b/>
          <w:bCs/>
          <w:spacing w:val="-2"/>
          <w:sz w:val="22"/>
          <w:szCs w:val="22"/>
        </w:rPr>
        <w:t>Назначение платежа при внесении задатка: «За участие в открытых электронных торгах № ________  по продаже имущества _________  по лоту №______».</w:t>
      </w:r>
    </w:p>
    <w:p>
      <w:pPr>
        <w:pStyle w:val="ConsNonformat"/>
        <w:ind w:firstLine="567"/>
        <w:jc w:val="both"/>
        <w:rPr>
          <w:rFonts w:ascii="Times New Roman" w:hAnsi="Times New Roman" w:cs="Times New Roman"/>
          <w:b/>
          <w:b/>
          <w:bCs/>
          <w:spacing w:val="-2"/>
          <w:sz w:val="22"/>
          <w:szCs w:val="22"/>
        </w:rPr>
      </w:pPr>
      <w:r>
        <w:rPr>
          <w:rFonts w:cs="Times New Roman" w:ascii="Times New Roman" w:hAnsi="Times New Roman"/>
          <w:b/>
          <w:bCs/>
          <w:spacing w:val="-2"/>
          <w:sz w:val="22"/>
          <w:szCs w:val="22"/>
        </w:rPr>
      </w:r>
    </w:p>
    <w:p>
      <w:pPr>
        <w:pStyle w:val="ConsNonformat"/>
        <w:jc w:val="center"/>
        <w:rPr>
          <w:rFonts w:ascii="Times New Roman" w:hAnsi="Times New Roman"/>
          <w:b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2. Права и обязанности сторон</w:t>
      </w:r>
    </w:p>
    <w:p>
      <w:pPr>
        <w:pStyle w:val="Style15"/>
        <w:ind w:firstLine="540"/>
        <w:rPr>
          <w:sz w:val="22"/>
          <w:szCs w:val="22"/>
        </w:rPr>
      </w:pPr>
      <w:r>
        <w:rPr>
          <w:sz w:val="22"/>
          <w:szCs w:val="22"/>
        </w:rPr>
        <w:t xml:space="preserve">2.1. В случае если Претендент не будет признан победителем торгов по лоту  (далее – лот), Организатор торгов обязуется возвратить задаток по лоту по истечении 5 (пяти) рабочих дней с даты подписания протокола об итогах торгов на банковские реквизиты, которые Претендент сообщает организатору торгов в заявлении о возврате задатка, либо указанные в настоящем договоре. </w:t>
      </w:r>
    </w:p>
    <w:p>
      <w:pPr>
        <w:pStyle w:val="Style15"/>
        <w:ind w:firstLine="567"/>
        <w:rPr>
          <w:sz w:val="22"/>
          <w:szCs w:val="22"/>
        </w:rPr>
      </w:pPr>
      <w:r>
        <w:rPr>
          <w:sz w:val="22"/>
          <w:szCs w:val="22"/>
        </w:rPr>
        <w:t>2.2. В случае признания Претендента победителем торгов сумма задатка засчитывается в счет оплаты за приобретенное имущество.</w:t>
      </w:r>
    </w:p>
    <w:p>
      <w:pPr>
        <w:pStyle w:val="Style15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2.3. В случае признания Претендента победителем торгов и не заключения договора купли-продажи по вине победителя торгов или не оплаты суммы по договору купли-продажи по вине победителя торгов, сумма задатка ему не возвращается и </w:t>
      </w:r>
      <w:r>
        <w:rPr>
          <w:bCs/>
          <w:spacing w:val="-2"/>
          <w:sz w:val="22"/>
          <w:szCs w:val="22"/>
        </w:rPr>
        <w:t>подлежит остается на специальном расчетном счете должника, предназначенного для удовлетворения требований залоговых кредиторов.</w:t>
      </w:r>
    </w:p>
    <w:p>
      <w:pPr>
        <w:pStyle w:val="Style15"/>
        <w:ind w:left="36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yle15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3. Срок действия договора</w:t>
      </w:r>
    </w:p>
    <w:p>
      <w:pPr>
        <w:pStyle w:val="Style15"/>
        <w:ind w:firstLine="567"/>
        <w:rPr>
          <w:sz w:val="22"/>
          <w:szCs w:val="22"/>
        </w:rPr>
      </w:pPr>
      <w:r>
        <w:rPr>
          <w:sz w:val="22"/>
          <w:szCs w:val="22"/>
        </w:rPr>
        <w:t>3.1. 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>
      <w:pPr>
        <w:pStyle w:val="Style15"/>
        <w:ind w:firstLine="540"/>
        <w:rPr>
          <w:sz w:val="22"/>
          <w:szCs w:val="22"/>
        </w:rPr>
      </w:pPr>
      <w:r>
        <w:rPr>
          <w:sz w:val="22"/>
          <w:szCs w:val="22"/>
        </w:rPr>
        <w:t>3.2. Все возможные споры и разногласия, возникшие между сторонами, решаются сторонами путем переговоров. В случае невозможности разрешения споров путем переговоров, стороны передают их для разрешения в арбитражный суд в соответствии с законодательством РФ.</w:t>
      </w:r>
    </w:p>
    <w:p>
      <w:pPr>
        <w:pStyle w:val="Style15"/>
        <w:ind w:firstLine="540"/>
        <w:rPr>
          <w:sz w:val="22"/>
          <w:szCs w:val="22"/>
        </w:rPr>
      </w:pPr>
      <w:r>
        <w:rPr>
          <w:sz w:val="22"/>
          <w:szCs w:val="22"/>
        </w:rPr>
        <w:t>3.3. 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Style15"/>
        <w:ind w:left="357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yle15"/>
        <w:ind w:left="357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4. Адреса и реквизиты, подписи сторон</w:t>
      </w:r>
    </w:p>
    <w:p>
      <w:pPr>
        <w:pStyle w:val="Style15"/>
        <w:ind w:left="357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9577" w:type="dxa"/>
        <w:jc w:val="left"/>
        <w:tblInd w:w="370" w:type="dxa"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4867"/>
        <w:gridCol w:w="4709"/>
      </w:tblGrid>
      <w:tr>
        <w:trPr>
          <w:trHeight w:val="215" w:hRule="atLeast"/>
        </w:trPr>
        <w:tc>
          <w:tcPr>
            <w:tcW w:w="4867" w:type="dxa"/>
            <w:tcBorders/>
            <w:shd w:fill="auto" w:val="clear"/>
          </w:tcPr>
          <w:p>
            <w:pPr>
              <w:pStyle w:val="1"/>
              <w:numPr>
                <w:ilvl w:val="0"/>
                <w:numId w:val="1"/>
              </w:numPr>
              <w:snapToGrid w:val="false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709" w:type="dxa"/>
            <w:tcBorders/>
            <w:shd w:fill="auto" w:val="clear"/>
          </w:tcPr>
          <w:p>
            <w:pPr>
              <w:pStyle w:val="1"/>
              <w:numPr>
                <w:ilvl w:val="0"/>
                <w:numId w:val="1"/>
              </w:numPr>
              <w:snapToGrid w:val="false"/>
              <w:ind w:left="-116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Претендент</w:t>
            </w:r>
          </w:p>
        </w:tc>
      </w:tr>
      <w:tr>
        <w:trPr>
          <w:trHeight w:val="741" w:hRule="atLeast"/>
        </w:trPr>
        <w:tc>
          <w:tcPr>
            <w:tcW w:w="4867" w:type="dxa"/>
            <w:tcBorders/>
            <w:shd w:fill="auto" w:val="clear"/>
          </w:tcPr>
          <w:tbl>
            <w:tblPr>
              <w:tblW w:w="10410" w:type="dxa"/>
              <w:jc w:val="left"/>
              <w:tblInd w:w="4" w:type="dxa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4864"/>
              <w:gridCol w:w="443"/>
              <w:gridCol w:w="5103"/>
            </w:tblGrid>
            <w:tr>
              <w:trPr>
                <w:trHeight w:val="1246" w:hRule="atLeast"/>
              </w:trPr>
              <w:tc>
                <w:tcPr>
                  <w:tcW w:w="4864" w:type="dxa"/>
                  <w:tcBorders/>
                  <w:shd w:fill="auto" w:val="clear"/>
                </w:tcPr>
                <w:p>
                  <w:pPr>
                    <w:pStyle w:val="Normal"/>
                    <w:shd w:val="clear" w:color="auto" w:fill="FFFFFF"/>
                    <w:spacing w:lineRule="auto" w:line="240" w:beforeAutospacing="1" w:afterAutospacing="1"/>
                    <w:rPr>
                      <w:rFonts w:ascii="Times New Roman" w:hAnsi="Times New Roman"/>
                      <w:color w:val="000000"/>
                    </w:rPr>
                  </w:pPr>
                  <w:r>
                    <w:rPr/>
                  </w:r>
                </w:p>
                <w:p>
                  <w:pPr>
                    <w:pStyle w:val="Normal"/>
                    <w:shd w:val="clear" w:color="auto" w:fill="FFFFFF"/>
                    <w:spacing w:lineRule="auto" w:line="240" w:beforeAutospacing="1" w:afterAutospacing="1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</w:r>
                </w:p>
                <w:p>
                  <w:pPr>
                    <w:pStyle w:val="Normal"/>
                    <w:shd w:val="clear" w:color="auto" w:fill="FFFFFF"/>
                    <w:spacing w:lineRule="auto" w:line="240" w:beforeAutospacing="1" w:after="0"/>
                    <w:jc w:val="right"/>
                    <w:rPr/>
                  </w:pPr>
                  <w:r>
                    <w:rPr>
                      <w:rFonts w:ascii="Times New Roman" w:hAnsi="Times New Roman"/>
                      <w:color w:val="000000"/>
                    </w:rPr>
                    <w:t>_____________ Мизин А.С.</w:t>
                  </w:r>
                </w:p>
              </w:tc>
              <w:tc>
                <w:tcPr>
                  <w:tcW w:w="443" w:type="dxa"/>
                  <w:tcBorders/>
                  <w:shd w:fill="auto" w:val="clear"/>
                </w:tcPr>
                <w:p>
                  <w:pPr>
                    <w:pStyle w:val="Normal"/>
                    <w:spacing w:lineRule="auto" w:line="240" w:before="0" w:after="200"/>
                    <w:ind w:right="565" w:hanging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5103" w:type="dxa"/>
                  <w:tcBorders/>
                  <w:shd w:fill="auto" w:val="clear"/>
                </w:tcPr>
                <w:p>
                  <w:pPr>
                    <w:pStyle w:val="Normal"/>
                    <w:spacing w:lineRule="auto" w:line="240"/>
                    <w:jc w:val="center"/>
                    <w:rPr>
                      <w:rFonts w:ascii="Times New Roman" w:hAnsi="Times New Roman" w:cs="Times New Roman"/>
                      <w:b/>
                      <w:b/>
                    </w:rPr>
                  </w:pPr>
                  <w:r>
                    <w:rPr>
                      <w:rFonts w:cs="Times New Roman" w:ascii="Times New Roman" w:hAnsi="Times New Roman"/>
                      <w:b/>
                    </w:rPr>
                    <w:t>Покупатель:</w:t>
                  </w:r>
                </w:p>
                <w:p>
                  <w:pPr>
                    <w:pStyle w:val="Normal"/>
                    <w:spacing w:lineRule="auto" w:line="240" w:before="0" w:after="20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</w:tr>
          </w:tbl>
          <w:p>
            <w:pPr>
              <w:pStyle w:val="Normal"/>
              <w:shd w:val="clear" w:color="auto" w:fill="FFFFFF"/>
              <w:spacing w:lineRule="auto" w:line="240" w:beforeAutospacing="1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709" w:type="dxa"/>
            <w:tcBorders/>
            <w:shd w:fill="auto" w:val="clea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56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43dd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2"/>
      <w:lang w:val="ru-RU" w:eastAsia="ar-SA" w:bidi="ar-SA"/>
    </w:rPr>
  </w:style>
  <w:style w:type="paragraph" w:styleId="1">
    <w:name w:val="Heading 1"/>
    <w:basedOn w:val="Normal"/>
    <w:next w:val="Normal"/>
    <w:link w:val="10"/>
    <w:qFormat/>
    <w:rsid w:val="00143dd3"/>
    <w:pPr>
      <w:keepNext w:val="true"/>
      <w:tabs>
        <w:tab w:val="clear" w:pos="708"/>
        <w:tab w:val="left" w:pos="360" w:leader="none"/>
      </w:tabs>
      <w:spacing w:lineRule="auto" w:line="240" w:before="0" w:after="0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143dd3"/>
    <w:rPr>
      <w:rFonts w:ascii="Times New Roman" w:hAnsi="Times New Roman" w:eastAsia="Times New Roman" w:cs="Times New Roman"/>
      <w:b/>
      <w:bCs/>
      <w:sz w:val="24"/>
      <w:szCs w:val="24"/>
      <w:lang w:eastAsia="ar-SA"/>
    </w:rPr>
  </w:style>
  <w:style w:type="character" w:styleId="Style13" w:customStyle="1">
    <w:name w:val="Основной текст Знак"/>
    <w:basedOn w:val="DefaultParagraphFont"/>
    <w:link w:val="a3"/>
    <w:semiHidden/>
    <w:qFormat/>
    <w:rsid w:val="00143dd3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link w:val="a4"/>
    <w:semiHidden/>
    <w:unhideWhenUsed/>
    <w:rsid w:val="00143dd3"/>
    <w:pPr>
      <w:spacing w:lineRule="auto" w:line="240" w:before="0" w:after="0"/>
      <w:jc w:val="both"/>
    </w:pPr>
    <w:rPr>
      <w:rFonts w:ascii="Times New Roman" w:hAnsi="Times New Roman" w:cs="Times New Roman"/>
      <w:sz w:val="24"/>
      <w:szCs w:val="24"/>
    </w:rPr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onsNonformat" w:customStyle="1">
    <w:name w:val="ConsNonformat"/>
    <w:qFormat/>
    <w:rsid w:val="00143dd3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Arial" w:cs="Courier New"/>
      <w:color w:val="auto"/>
      <w:kern w:val="0"/>
      <w:sz w:val="20"/>
      <w:szCs w:val="20"/>
      <w:lang w:val="ru-RU" w:eastAsia="ar-SA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LibreOffice/6.2.1.2$Windows_X86_64 LibreOffice_project/7bcb35dc3024a62dea0caee87020152d1ee96e71</Application>
  <Pages>1</Pages>
  <Words>408</Words>
  <Characters>2689</Characters>
  <CharactersWithSpaces>3198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2021-10-01T08:54:00Z</dcterms:created>
  <dc:creator>User</dc:creator>
  <dc:description/>
  <dc:language>ru-RU</dc:language>
  <cp:lastModifiedBy/>
  <dcterms:modified xsi:type="dcterms:W3CDTF">2026-07-15T14:07:57Z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