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ДОГОВОР </w:t>
      </w:r>
    </w:p>
    <w:p w14:paraId="02000000">
      <w:pPr>
        <w:pStyle w:val="Style_1"/>
        <w:widowControl w:val="1"/>
        <w:ind w:firstLine="0" w:left="0" w:right="-37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sz w:val="28"/>
        </w:rPr>
        <w:t>ЗАДАТКА (обеспечения) НА УЧАСТИЕ В ТОРГАХ</w:t>
      </w:r>
      <w:r>
        <w:rPr>
          <w:rFonts w:ascii="Times New Roman" w:hAnsi="Times New Roman"/>
        </w:rPr>
        <w:t xml:space="preserve"> </w:t>
      </w:r>
    </w:p>
    <w:p w14:paraId="03000000">
      <w:pPr>
        <w:pStyle w:val="Style_1"/>
        <w:widowControl w:val="1"/>
        <w:ind w:firstLine="0" w:left="0" w:right="-37"/>
        <w:jc w:val="center"/>
        <w:rPr>
          <w:rFonts w:ascii="Times New Roman" w:hAnsi="Times New Roman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85"/>
      </w:tblGrid>
      <w:tr>
        <w:tc>
          <w:tcPr>
            <w:tcW w:type="dxa" w:w="4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00000">
            <w:pPr>
              <w:pStyle w:val="Style_1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</w:rPr>
            </w:pPr>
          </w:p>
          <w:p w14:paraId="05000000">
            <w:pPr>
              <w:pStyle w:val="Style_1"/>
              <w:widowControl w:val="1"/>
              <w:ind w:firstLine="0" w:left="0" w:righ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«___»_________ 2026 г.                                        </w:t>
            </w:r>
            <w:r>
              <w:rPr>
                <w:rFonts w:ascii="Times New Roman" w:hAnsi="Times New Roman"/>
                <w:b w:val="1"/>
              </w:rPr>
              <w:t>Волгоград</w:t>
            </w:r>
          </w:p>
        </w:tc>
      </w:tr>
    </w:tbl>
    <w:p w14:paraId="06000000">
      <w:pPr>
        <w:pStyle w:val="Style_1"/>
        <w:widowControl w:val="1"/>
        <w:ind w:firstLine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7000000">
      <w:pPr>
        <w:pStyle w:val="Style_3"/>
        <w:widowControl w:val="1"/>
        <w:tabs>
          <w:tab w:leader="none" w:pos="7170" w:val="left"/>
        </w:tabs>
        <w:ind w:right="0"/>
        <w:jc w:val="both"/>
        <w:rPr>
          <w:rFonts w:ascii="Times New Roman" w:hAnsi="Times New Roman"/>
        </w:rPr>
      </w:pPr>
    </w:p>
    <w:p w14:paraId="08000000">
      <w:pPr>
        <w:pStyle w:val="Style_4"/>
        <w:ind w:firstLine="540" w:left="0"/>
        <w:jc w:val="both"/>
        <w:rPr>
          <w:rFonts w:ascii="Times New Roman" w:hAnsi="Times New Roman"/>
          <w:b w:val="1"/>
          <w:color w:val="333333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 xml:space="preserve">инансовый управляющий </w:t>
      </w:r>
      <w:r>
        <w:rPr>
          <w:rFonts w:ascii="Times New Roman" w:hAnsi="Times New Roman"/>
          <w:sz w:val="24"/>
        </w:rPr>
        <w:t>Григорян Спартака Сарибековича (21.10.1962 года рождения, место рождения: с. Ахула Артикского р-на Армянской ССР, место жительства: 143590, обл. Московская, г. Истра, дп. Снегири, ул. Московская, д 23А, ИНН 401107612369, СНИЛС 169-191-422 92) признан несостоятельным (банкротом) Решением Арбитражного суда Московской области от 24.06.2025 г. по делу № А41-17974/2025</w:t>
      </w:r>
      <w:r>
        <w:rPr>
          <w:rFonts w:ascii="Times New Roman" w:hAnsi="Times New Roman"/>
          <w:sz w:val="24"/>
        </w:rPr>
        <w:t xml:space="preserve">, Хачатрян Мгер Самвелович (тел. 8 905 394-79-50; e-mail: mer.ararat@yandex.ru ), член Ассоциацией арбитражных управляющих «ЕВРАЗИЯ» (ИНН 344312293522, почтовый </w:t>
      </w:r>
      <w:bookmarkStart w:id="1" w:name="_GoBack"/>
      <w:bookmarkEnd w:id="1"/>
      <w:r>
        <w:rPr>
          <w:rFonts w:ascii="Times New Roman" w:hAnsi="Times New Roman"/>
          <w:sz w:val="24"/>
        </w:rPr>
        <w:t>адрес: 400006, г. Волгоград, ул. Мира 19, а/я 235/1)</w:t>
      </w:r>
      <w:r>
        <w:rPr>
          <w:rFonts w:ascii="Times New Roman" w:hAnsi="Times New Roman"/>
          <w:sz w:val="24"/>
        </w:rPr>
        <w:t>, с одной стороны, и _________________ действующий на основании______, договорились о следующем:</w:t>
      </w:r>
    </w:p>
    <w:p w14:paraId="09000000">
      <w:pPr>
        <w:pStyle w:val="Style_5"/>
        <w:ind/>
        <w:jc w:val="both"/>
      </w:pPr>
      <w:r>
        <w:t xml:space="preserve">1.За участие в торгах на право заключения договора купли-продажи по лоту № 1 Претендент оплачивает задаток. </w:t>
      </w:r>
    </w:p>
    <w:p w14:paraId="0A000000">
      <w:pPr>
        <w:pStyle w:val="Style_5"/>
        <w:ind/>
        <w:jc w:val="both"/>
      </w:pPr>
      <w:r>
        <w:t xml:space="preserve">Предмет торгов – </w:t>
      </w:r>
    </w:p>
    <w:p w14:paraId="0B000000">
      <w:pPr>
        <w:pStyle w:val="Style_5"/>
        <w:spacing w:after="0"/>
        <w:ind/>
        <w:jc w:val="both"/>
        <w:rPr>
          <w:color w:val="000000"/>
        </w:rPr>
      </w:pPr>
      <w:r>
        <w:rPr>
          <w:color w:val="000000"/>
        </w:rPr>
        <w:t xml:space="preserve">1) </w:t>
      </w:r>
      <w:r>
        <w:t>земельный участок, площадью 791 кв.м., расположенный по адресу: Можайский район, Можайский район,д.0.Кадастровыйномер:50:18:0050116:419. Стоимость составляет 433 000.00 руб.</w:t>
      </w:r>
    </w:p>
    <w:p w14:paraId="0C000000">
      <w:pPr>
        <w:pStyle w:val="Style_5"/>
        <w:spacing w:after="0"/>
        <w:ind/>
        <w:jc w:val="both"/>
        <w:rPr>
          <w:color w:val="000000"/>
        </w:rPr>
      </w:pPr>
    </w:p>
    <w:p w14:paraId="0D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 Претендент вносит задаток в размере 10 % начальной цены торгов. Задаток перечисляется по следующим реквизитам: </w:t>
      </w:r>
    </w:p>
    <w:p w14:paraId="0E000000">
      <w:pPr>
        <w:ind/>
        <w:jc w:val="both"/>
        <w:rPr>
          <w:b w:val="1"/>
          <w:color w:val="000000"/>
        </w:rPr>
      </w:pPr>
      <w:r>
        <w:rPr>
          <w:b w:val="1"/>
        </w:rPr>
        <w:t xml:space="preserve">Получатель: </w:t>
      </w:r>
      <w:r>
        <w:rPr>
          <w:b w:val="1"/>
        </w:rPr>
        <w:t>Григорян Спартак Сарибекович</w:t>
      </w:r>
    </w:p>
    <w:p w14:paraId="0F000000">
      <w:pPr>
        <w:ind/>
        <w:jc w:val="both"/>
        <w:rPr>
          <w:b w:val="1"/>
        </w:rPr>
      </w:pPr>
      <w:r>
        <w:rPr>
          <w:b w:val="1"/>
        </w:rPr>
        <w:t>Номер счёта: 40817810150222675829</w:t>
      </w:r>
    </w:p>
    <w:p w14:paraId="10000000">
      <w:pPr>
        <w:ind/>
        <w:jc w:val="both"/>
        <w:rPr>
          <w:b w:val="1"/>
        </w:rPr>
      </w:pPr>
      <w:r>
        <w:rPr>
          <w:b w:val="1"/>
          <w:color w:val="000000"/>
        </w:rPr>
        <w:t>Банк получателя: ПАО "Совкомбанк".</w:t>
      </w:r>
      <w:r>
        <w:rPr>
          <w:b w:val="1"/>
          <w:color w:val="000000"/>
        </w:rPr>
        <w:t>.</w:t>
      </w:r>
    </w:p>
    <w:p w14:paraId="11000000">
      <w:pPr>
        <w:ind/>
        <w:jc w:val="both"/>
      </w:pPr>
      <w:r>
        <w:t>3. Организатор обязуется в случае победы Претендента на торгах зачесть задаток в счет оплаты приобретенного на торгах имущества.</w:t>
      </w:r>
    </w:p>
    <w:p w14:paraId="12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Организатор обязуется вернуть задаток Претенденту: </w:t>
      </w:r>
    </w:p>
    <w:p w14:paraId="13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поданной заявки вернуть задаток в 5-дневный срок со дня поступления уведомления об отзыве заявки на счет, указанный Претендентом.</w:t>
      </w:r>
    </w:p>
    <w:p w14:paraId="14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14:paraId="15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задатка на специальный счет для принятия задатков.</w:t>
      </w:r>
    </w:p>
    <w:p w14:paraId="16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14:paraId="17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14:paraId="18000000">
      <w:pPr>
        <w:spacing w:after="178" w:before="206"/>
        <w:ind w:firstLine="0" w:left="120"/>
        <w:rPr>
          <w:b w:val="1"/>
          <w:color w:val="000000"/>
        </w:rPr>
      </w:pPr>
      <w:r>
        <w:rPr>
          <w:b w:val="1"/>
          <w:color w:val="000000"/>
        </w:rPr>
        <w:t>Реквизиты и подписи Сторон:</w:t>
      </w:r>
    </w:p>
    <w:tbl>
      <w:tblPr>
        <w:tblStyle w:val="Style_2"/>
        <w:tblInd w:type="dxa" w:w="109"/>
        <w:tblLayout w:type="fixed"/>
        <w:tblCellMar>
          <w:top w:type="dxa" w:w="0"/>
          <w:left w:type="dxa" w:w="40"/>
          <w:bottom w:type="dxa" w:w="0"/>
          <w:right w:type="dxa" w:w="40"/>
        </w:tblCellMar>
      </w:tblPr>
      <w:tblGrid>
        <w:gridCol w:w="4893"/>
        <w:gridCol w:w="4394"/>
      </w:tblGrid>
      <w:tr>
        <w:trPr>
          <w:trHeight w:hRule="exact" w:val="377"/>
        </w:trPr>
        <w:tc>
          <w:tcPr>
            <w:tcW w:type="dxa" w:w="4893"/>
            <w:tcMar>
              <w:top w:type="dxa" w:w="0"/>
              <w:left w:type="dxa" w:w="40"/>
              <w:bottom w:type="dxa" w:w="0"/>
              <w:right w:type="dxa" w:w="40"/>
            </w:tcMar>
          </w:tcPr>
          <w:p w14:paraId="19000000">
            <w:pPr>
              <w:rPr>
                <w:b w:val="1"/>
                <w:color w:val="000000"/>
                <w:spacing w:val="-1"/>
              </w:rPr>
            </w:pPr>
            <w:r>
              <w:rPr>
                <w:b w:val="1"/>
                <w:color w:val="000000"/>
                <w:spacing w:val="-1"/>
              </w:rPr>
              <w:t>ОРГАНИЗАТОР:</w:t>
            </w:r>
          </w:p>
          <w:p w14:paraId="1A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4394"/>
            <w:tcMar>
              <w:top w:type="dxa" w:w="0"/>
              <w:left w:type="dxa" w:w="40"/>
              <w:bottom w:type="dxa" w:w="0"/>
              <w:right w:type="dxa" w:w="40"/>
            </w:tcMar>
          </w:tcPr>
          <w:p w14:paraId="1B000000">
            <w:pPr>
              <w:ind/>
              <w:jc w:val="center"/>
              <w:rPr>
                <w:b w:val="1"/>
              </w:rPr>
            </w:pPr>
            <w:r>
              <w:rPr>
                <w:b w:val="1"/>
                <w:color w:val="000000"/>
              </w:rPr>
              <w:t>ПРЕТЕНДЕНТ:</w:t>
            </w:r>
          </w:p>
        </w:tc>
      </w:tr>
    </w:tbl>
    <w:p w14:paraId="1C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5" w:type="paragraph">
    <w:name w:val="Body Text"/>
    <w:basedOn w:val="Style_6"/>
    <w:link w:val="Style_5_ch"/>
    <w:pPr>
      <w:spacing w:after="120"/>
      <w:ind/>
    </w:pPr>
  </w:style>
  <w:style w:styleId="Style_5_ch" w:type="character">
    <w:name w:val="Body Text"/>
    <w:basedOn w:val="Style_6_ch"/>
    <w:link w:val="Style_5"/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3" w:type="paragraph">
    <w:name w:val="ConsNonformat"/>
    <w:link w:val="Style_3_ch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styleId="Style_3_ch" w:type="character">
    <w:name w:val="ConsNonformat"/>
    <w:link w:val="Style_3"/>
    <w:rPr>
      <w:rFonts w:ascii="Courier New" w:hAnsi="Courier New"/>
      <w:sz w:val="20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" w:type="paragraph">
    <w:name w:val="ConsNormal"/>
    <w:link w:val="Style_1_ch"/>
    <w:pPr>
      <w:widowControl w:val="0"/>
      <w:spacing w:after="0" w:line="240" w:lineRule="auto"/>
      <w:ind w:firstLine="720" w:left="0" w:right="19772"/>
    </w:pPr>
    <w:rPr>
      <w:rFonts w:ascii="Arial" w:hAnsi="Arial"/>
      <w:sz w:val="20"/>
    </w:rPr>
  </w:style>
  <w:style w:styleId="Style_1_ch" w:type="character">
    <w:name w:val="ConsNormal"/>
    <w:link w:val="Style_1"/>
    <w:rPr>
      <w:rFonts w:ascii="Arial" w:hAnsi="Arial"/>
      <w:sz w:val="20"/>
    </w:rPr>
  </w:style>
  <w:style w:styleId="Style_21" w:type="paragraph">
    <w:name w:val="toc 8"/>
    <w:next w:val="Style_6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6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6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6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6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6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4" w:type="paragraph">
    <w:name w:val="ConsPlusNormal"/>
    <w:link w:val="Style_4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4_ch" w:type="character">
    <w:name w:val="ConsPlusNormal"/>
    <w:link w:val="Style_4"/>
    <w:rPr>
      <w:rFonts w:ascii="Arial" w:hAnsi="Arial"/>
      <w:sz w:val="20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2026-03-04T12:13:40Z</dcterms:modified>
</cp:coreProperties>
</file>