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 xml:space="preserve">ДОГОВОР О ЗАДАТКЕ </w:t>
      </w:r>
    </w:p>
    <w:p w14:paraId="02000000">
      <w:pPr>
        <w:pStyle w:val="Style_2"/>
        <w:ind w:firstLine="0" w:lef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 счет обеспечения оплаты имущества, приобретаемого на торгах</w:t>
      </w:r>
    </w:p>
    <w:p w14:paraId="03000000">
      <w:pPr>
        <w:pStyle w:val="Style_3"/>
        <w:rPr>
          <w:rFonts w:ascii="Times New Roman" w:hAnsi="Times New Roman"/>
          <w:sz w:val="22"/>
        </w:rPr>
      </w:pPr>
    </w:p>
    <w:p w14:paraId="04000000">
      <w:pPr>
        <w:pStyle w:val="Style_2"/>
        <w:ind w:firstLine="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г. Волгоград                                                                                                       «___» ________ 202</w:t>
      </w:r>
      <w:r>
        <w:rPr>
          <w:rFonts w:ascii="Times New Roman" w:hAnsi="Times New Roman"/>
          <w:sz w:val="22"/>
        </w:rPr>
        <w:t>6</w:t>
      </w:r>
      <w:r>
        <w:rPr>
          <w:rFonts w:ascii="Times New Roman" w:hAnsi="Times New Roman"/>
          <w:sz w:val="22"/>
        </w:rPr>
        <w:t xml:space="preserve"> г.</w:t>
      </w:r>
    </w:p>
    <w:p w14:paraId="05000000">
      <w:pPr>
        <w:pStyle w:val="Style_4"/>
        <w:ind w:firstLine="540" w:left="0"/>
        <w:jc w:val="both"/>
        <w:rPr>
          <w:rFonts w:ascii="Times New Roman" w:hAnsi="Times New Roman"/>
          <w:b w:val="1"/>
          <w:sz w:val="22"/>
        </w:rPr>
      </w:pPr>
      <w:r>
        <w:rPr>
          <w:rFonts w:ascii="Times New Roman" w:hAnsi="Times New Roman"/>
          <w:sz w:val="22"/>
        </w:rPr>
        <w:t xml:space="preserve">     </w:t>
      </w:r>
    </w:p>
    <w:p w14:paraId="06000000">
      <w:pPr>
        <w:pStyle w:val="Style_4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sz w:val="22"/>
        </w:rPr>
        <w:t>Финансовый упр</w:t>
      </w:r>
      <w:r>
        <w:rPr>
          <w:rFonts w:ascii="Times New Roman" w:hAnsi="Times New Roman"/>
          <w:b w:val="1"/>
          <w:sz w:val="22"/>
        </w:rPr>
        <w:t xml:space="preserve">авляющий </w:t>
      </w:r>
      <w:r>
        <w:rPr>
          <w:rFonts w:ascii="Times New Roman" w:hAnsi="Times New Roman"/>
          <w:sz w:val="22"/>
        </w:rPr>
        <w:t>Гаспарян Асмик Сумбатовны</w:t>
      </w:r>
      <w:r>
        <w:rPr>
          <w:rStyle w:val="Style_5_ch"/>
          <w:rFonts w:ascii="Times New Roman" w:hAnsi="Times New Roman"/>
          <w:color w:val="000000"/>
          <w:sz w:val="22"/>
          <w:highlight w:val="white"/>
        </w:rPr>
        <w:t xml:space="preserve"> </w:t>
      </w:r>
      <w:r>
        <w:rPr>
          <w:rStyle w:val="Style_5_ch"/>
          <w:rFonts w:ascii="Times New Roman" w:hAnsi="Times New Roman"/>
          <w:b w:val="1"/>
          <w:color w:val="000000"/>
          <w:sz w:val="22"/>
          <w:highlight w:val="white"/>
        </w:rPr>
        <w:t xml:space="preserve"> Хачатрян Мгер Самвелович</w:t>
      </w:r>
      <w:r>
        <w:rPr>
          <w:rFonts w:ascii="Times New Roman" w:hAnsi="Times New Roman"/>
          <w:sz w:val="22"/>
        </w:rPr>
        <w:t xml:space="preserve">, действующий </w:t>
      </w:r>
      <w:r>
        <w:rPr>
          <w:rStyle w:val="Style_6_ch"/>
          <w:rFonts w:ascii="Times New Roman" w:hAnsi="Times New Roman"/>
          <w:color w:val="000000"/>
          <w:sz w:val="22"/>
          <w:highlight w:val="white"/>
        </w:rPr>
        <w:t>на основа</w:t>
      </w:r>
      <w:r>
        <w:rPr>
          <w:rStyle w:val="Style_6_ch"/>
          <w:rFonts w:ascii="Times New Roman" w:hAnsi="Times New Roman"/>
          <w:color w:val="000000"/>
          <w:sz w:val="22"/>
          <w:highlight w:val="white"/>
        </w:rPr>
        <w:t xml:space="preserve">нии Решения Арбитражного суда </w:t>
      </w:r>
      <w:r>
        <w:rPr>
          <w:rFonts w:ascii="Times New Roman" w:hAnsi="Times New Roman"/>
          <w:sz w:val="22"/>
        </w:rPr>
        <w:t>Краснодарского края от 01.12.2025 г. г. по делу № А32-50673/2025</w:t>
      </w:r>
      <w:r>
        <w:rPr>
          <w:rFonts w:ascii="Times New Roman" w:hAnsi="Times New Roman"/>
          <w:spacing w:val="-9"/>
          <w:sz w:val="22"/>
        </w:rPr>
        <w:t xml:space="preserve">, именуемый в дальнейшем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hAnsi="Times New Roman"/>
          <w:spacing w:val="-7"/>
          <w:sz w:val="22"/>
        </w:rPr>
        <w:t xml:space="preserve"> </w:t>
      </w:r>
      <w:r>
        <w:rPr>
          <w:rFonts w:ascii="Times New Roman" w:hAnsi="Times New Roman"/>
          <w:sz w:val="22"/>
        </w:rPr>
        <w:t>с одной стороны,</w:t>
      </w:r>
      <w:r>
        <w:rPr>
          <w:rFonts w:ascii="Times New Roman" w:hAnsi="Times New Roman"/>
          <w:sz w:val="22"/>
        </w:rPr>
        <w:t xml:space="preserve"> и </w:t>
      </w:r>
      <w:r>
        <w:rPr>
          <w:rFonts w:ascii="Times New Roman" w:hAnsi="Times New Roman"/>
          <w:sz w:val="22"/>
        </w:rPr>
        <w:t>______________________________________</w:t>
      </w:r>
      <w:r>
        <w:rPr>
          <w:rFonts w:ascii="Times New Roman" w:hAnsi="Times New Roman"/>
          <w:sz w:val="22"/>
        </w:rPr>
        <w:t>___________________________________________</w:t>
      </w:r>
      <w:r>
        <w:rPr>
          <w:rFonts w:ascii="Times New Roman" w:hAnsi="Times New Roman"/>
          <w:b w:val="1"/>
          <w:sz w:val="22"/>
        </w:rPr>
        <w:t xml:space="preserve"> </w:t>
      </w:r>
      <w:r>
        <w:rPr>
          <w:rFonts w:ascii="Times New Roman" w:hAnsi="Times New Roman"/>
          <w:sz w:val="22"/>
        </w:rPr>
        <w:t>именуемый в дальнейшем «Претендент», с другой стороны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заключили настоящий договор</w:t>
      </w:r>
      <w:r>
        <w:rPr>
          <w:rFonts w:ascii="Times New Roman" w:hAnsi="Times New Roman"/>
          <w:sz w:val="22"/>
        </w:rPr>
        <w:br/>
      </w:r>
      <w:r>
        <w:rPr>
          <w:rFonts w:ascii="Times New Roman" w:hAnsi="Times New Roman"/>
          <w:sz w:val="22"/>
        </w:rPr>
        <w:t>о нижеследующем:</w:t>
      </w:r>
    </w:p>
    <w:p w14:paraId="07000000">
      <w:pPr>
        <w:pStyle w:val="Style_3"/>
        <w:rPr>
          <w:rFonts w:ascii="Times New Roman" w:hAnsi="Times New Roman"/>
          <w:sz w:val="22"/>
        </w:rPr>
      </w:pPr>
    </w:p>
    <w:p w14:paraId="08000000">
      <w:pPr>
        <w:pStyle w:val="Style_2"/>
        <w:ind w:firstLine="0" w:lef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sz w:val="22"/>
        </w:rPr>
        <w:t>1. ПРЕДМЕТ ДОГОВОРА</w:t>
      </w:r>
    </w:p>
    <w:p w14:paraId="09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1.1. Претендент обязуется перечислить на расчётный счет организатора торгов задаток в разме</w:t>
      </w:r>
      <w:r>
        <w:rPr>
          <w:rFonts w:ascii="Times New Roman" w:hAnsi="Times New Roman"/>
          <w:sz w:val="22"/>
        </w:rPr>
        <w:t>ре</w:t>
      </w:r>
      <w:r>
        <w:rPr>
          <w:rFonts w:ascii="Times New Roman" w:hAnsi="Times New Roman"/>
          <w:sz w:val="22"/>
        </w:rPr>
        <w:t xml:space="preserve"> 10 % (Десять процентов) от начальной цены продажи лота № 1 в счет обеспечения оплаты приобретаемого имущества, принадлежащего Продавцу, выставленного на открытые электронные торги в форме аукциона. </w:t>
      </w:r>
    </w:p>
    <w:p w14:paraId="0A000000">
      <w:pPr>
        <w:ind w:firstLine="567" w:left="0"/>
        <w:jc w:val="both"/>
        <w:rPr>
          <w:color w:val="333333"/>
          <w:sz w:val="22"/>
        </w:rPr>
      </w:pPr>
      <w:r>
        <w:rPr>
          <w:sz w:val="22"/>
        </w:rPr>
        <w:t xml:space="preserve">1.2. </w:t>
      </w:r>
      <w:r>
        <w:rPr>
          <w:color w:val="333333"/>
          <w:sz w:val="22"/>
        </w:rPr>
        <w:t xml:space="preserve">Задаток </w:t>
      </w:r>
      <w:r>
        <w:rPr>
          <w:color w:val="333333"/>
          <w:sz w:val="22"/>
        </w:rPr>
        <w:t>оплачивается</w:t>
      </w:r>
      <w:r>
        <w:rPr>
          <w:color w:val="333333"/>
          <w:sz w:val="22"/>
        </w:rPr>
        <w:t xml:space="preserve"> </w:t>
      </w:r>
      <w:r>
        <w:rPr>
          <w:color w:val="333333"/>
          <w:sz w:val="22"/>
        </w:rPr>
        <w:t>в размере 10% от начальной це</w:t>
      </w:r>
      <w:r>
        <w:rPr>
          <w:color w:val="333333"/>
          <w:sz w:val="22"/>
        </w:rPr>
        <w:t>ны</w:t>
      </w:r>
      <w:r>
        <w:rPr>
          <w:color w:val="333333"/>
          <w:sz w:val="22"/>
        </w:rPr>
        <w:t xml:space="preserve"> лота на спец. счет ЭТП</w:t>
      </w:r>
      <w:r>
        <w:rPr>
          <w:color w:val="333333"/>
          <w:sz w:val="22"/>
        </w:rPr>
        <w:br/>
      </w:r>
      <w:r>
        <w:rPr>
          <w:b w:val="1"/>
          <w:color w:val="333333"/>
          <w:sz w:val="22"/>
        </w:rPr>
        <w:t>ООО «Аукционы Федерации»</w:t>
      </w:r>
      <w:r>
        <w:rPr>
          <w:color w:val="333333"/>
          <w:sz w:val="22"/>
        </w:rPr>
        <w:t xml:space="preserve">, ИНН </w:t>
      </w:r>
      <w:r>
        <w:rPr>
          <w:color w:val="333333"/>
          <w:sz w:val="22"/>
        </w:rPr>
        <w:t>0278184720</w:t>
      </w:r>
      <w:r>
        <w:rPr>
          <w:color w:val="333333"/>
          <w:sz w:val="22"/>
        </w:rPr>
        <w:t xml:space="preserve">, КПП </w:t>
      </w:r>
      <w:r>
        <w:rPr>
          <w:color w:val="333333"/>
          <w:sz w:val="22"/>
        </w:rPr>
        <w:t>027801001</w:t>
      </w:r>
      <w:r>
        <w:rPr>
          <w:color w:val="333333"/>
          <w:sz w:val="22"/>
        </w:rPr>
        <w:t xml:space="preserve">, р/с </w:t>
      </w:r>
      <w:r>
        <w:rPr>
          <w:b w:val="1"/>
          <w:color w:val="333333"/>
          <w:sz w:val="22"/>
        </w:rPr>
        <w:t>№ 40702810729330000981,</w:t>
      </w:r>
      <w:r>
        <w:rPr>
          <w:b w:val="1"/>
          <w:color w:val="333333"/>
          <w:sz w:val="22"/>
        </w:rPr>
        <w:br/>
      </w:r>
      <w:r>
        <w:rPr>
          <w:b w:val="1"/>
          <w:color w:val="333333"/>
          <w:sz w:val="22"/>
        </w:rPr>
        <w:t>в Филиал «Нижегородский» АО «Альфа-Банк»,</w:t>
      </w:r>
      <w:r>
        <w:rPr>
          <w:b w:val="1"/>
          <w:color w:val="333333"/>
          <w:sz w:val="22"/>
        </w:rPr>
        <w:t xml:space="preserve"> </w:t>
      </w:r>
      <w:r>
        <w:rPr>
          <w:b w:val="1"/>
          <w:color w:val="333333"/>
          <w:sz w:val="22"/>
        </w:rPr>
        <w:t>к/с 30101810200000000824, БИК 042202824</w:t>
      </w:r>
      <w:r>
        <w:rPr>
          <w:color w:val="333333"/>
          <w:sz w:val="22"/>
        </w:rPr>
        <w:t>. В назначении платежа обязательно указать: «Наименование должн</w:t>
      </w:r>
      <w:r>
        <w:rPr>
          <w:color w:val="333333"/>
          <w:sz w:val="22"/>
        </w:rPr>
        <w:t>ика,</w:t>
      </w:r>
      <w:r>
        <w:rPr>
          <w:color w:val="333333"/>
          <w:sz w:val="22"/>
        </w:rPr>
        <w:t xml:space="preserve"> код торгов и номер лота». </w:t>
      </w:r>
      <w:r>
        <w:rPr>
          <w:color w:val="333333"/>
          <w:sz w:val="22"/>
        </w:rPr>
        <w:t>Претендент обязан обеспечить поступление задатка не позднее даты окончания приема заявок.</w:t>
      </w:r>
    </w:p>
    <w:p w14:paraId="0B000000">
      <w:pPr>
        <w:ind w:firstLine="567" w:left="0"/>
        <w:jc w:val="both"/>
        <w:rPr>
          <w:sz w:val="22"/>
        </w:rPr>
      </w:pPr>
      <w:r>
        <w:rPr>
          <w:color w:val="333333"/>
          <w:sz w:val="22"/>
        </w:rPr>
        <w:t>1.3</w:t>
      </w:r>
      <w:r>
        <w:rPr>
          <w:color w:val="333333"/>
          <w:sz w:val="22"/>
        </w:rPr>
        <w:t xml:space="preserve"> </w:t>
      </w:r>
      <w:r>
        <w:rPr>
          <w:color w:val="333333"/>
          <w:sz w:val="22"/>
        </w:rPr>
        <w:t>Претендент подтверждает, что он ознакомился с текстом информационного сообщения</w:t>
      </w:r>
      <w:r>
        <w:rPr>
          <w:color w:val="333333"/>
          <w:sz w:val="22"/>
        </w:rPr>
        <w:br/>
      </w:r>
      <w:r>
        <w:rPr>
          <w:color w:val="333333"/>
          <w:sz w:val="22"/>
        </w:rPr>
        <w:t>и обязуется соблюдать требования, указанные в информационном сообщении и ус</w:t>
      </w:r>
      <w:r>
        <w:rPr>
          <w:color w:val="333333"/>
          <w:sz w:val="22"/>
        </w:rPr>
        <w:t>тановленные требованиям Федерального закона от 26 октября 2002 года №127-ФЗ «О несостоятельности (банкротстве)».</w:t>
      </w:r>
    </w:p>
    <w:p w14:paraId="0C000000">
      <w:pPr>
        <w:pStyle w:val="Style_2"/>
        <w:ind w:firstLine="0" w:left="0"/>
        <w:jc w:val="both"/>
        <w:rPr>
          <w:rFonts w:ascii="Times New Roman" w:hAnsi="Times New Roman"/>
          <w:sz w:val="22"/>
        </w:rPr>
      </w:pPr>
    </w:p>
    <w:p w14:paraId="0D000000">
      <w:pPr>
        <w:pStyle w:val="Style_2"/>
        <w:ind w:firstLine="0" w:lef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sz w:val="22"/>
        </w:rPr>
        <w:t>2. ОБЯЗАННОСТИ СТОРОН</w:t>
      </w:r>
    </w:p>
    <w:p w14:paraId="0E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2.1. Претендент обязан:</w:t>
      </w:r>
    </w:p>
    <w:p w14:paraId="0F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2.1.1. </w:t>
      </w:r>
      <w:r>
        <w:rPr>
          <w:rFonts w:ascii="Times New Roman" w:hAnsi="Times New Roman"/>
          <w:sz w:val="22"/>
        </w:rPr>
        <w:t>Обеспечить поступление указанных в п. 1.1 настоящего договора денежных средств</w:t>
      </w:r>
      <w:r>
        <w:rPr>
          <w:rFonts w:ascii="Times New Roman" w:hAnsi="Times New Roman"/>
          <w:sz w:val="22"/>
        </w:rPr>
        <w:br/>
      </w:r>
      <w:r>
        <w:rPr>
          <w:rFonts w:ascii="Times New Roman" w:hAnsi="Times New Roman"/>
          <w:sz w:val="22"/>
        </w:rPr>
        <w:t xml:space="preserve">до </w:t>
      </w:r>
      <w:r>
        <w:rPr>
          <w:rFonts w:ascii="Times New Roman" w:hAnsi="Times New Roman"/>
          <w:sz w:val="22"/>
        </w:rPr>
        <w:t>подачи заявки на участие в торгах.</w:t>
      </w:r>
    </w:p>
    <w:p w14:paraId="10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2.1.2. В случае</w:t>
      </w:r>
    </w:p>
    <w:p w14:paraId="11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</w:t>
      </w:r>
      <w:r>
        <w:rPr>
          <w:rFonts w:ascii="Times New Roman" w:hAnsi="Times New Roman"/>
          <w:sz w:val="22"/>
        </w:rPr>
        <w:t xml:space="preserve">купли-продажи </w:t>
      </w:r>
      <w:r>
        <w:rPr>
          <w:rFonts w:ascii="Times New Roman" w:hAnsi="Times New Roman"/>
          <w:sz w:val="22"/>
        </w:rPr>
        <w:t>по приобретению указанного в п. 1.1 наст</w:t>
      </w:r>
      <w:r>
        <w:rPr>
          <w:rFonts w:ascii="Times New Roman" w:hAnsi="Times New Roman"/>
          <w:sz w:val="22"/>
        </w:rPr>
        <w:t>оящего договора имущества, при этом перечисленный Претендентом задаток засчитывается Продавцом в счет оплаты по заключенному договору.</w:t>
      </w:r>
    </w:p>
    <w:p w14:paraId="12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При отказе Претендента от подписания протокола о результатах торгов, отказе от заключения в установленный срок договора, </w:t>
      </w:r>
      <w:r>
        <w:rPr>
          <w:rFonts w:ascii="Times New Roman" w:hAnsi="Times New Roman"/>
          <w:sz w:val="22"/>
        </w:rPr>
        <w:t xml:space="preserve">а также при неоплате стоимости приобретенного имущества в срок, указанный в договоре, задаток, внесенный Претендентом, Продавцом не возвращается, а Претендент утрачивает право на приобретение имущества. </w:t>
      </w:r>
    </w:p>
    <w:p w14:paraId="13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 Продавец обязан:</w:t>
      </w:r>
    </w:p>
    <w:p w14:paraId="14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2.2.1. В случае отзыва Претенд</w:t>
      </w:r>
      <w:r>
        <w:rPr>
          <w:rFonts w:ascii="Times New Roman" w:hAnsi="Times New Roman"/>
          <w:sz w:val="22"/>
        </w:rPr>
        <w:t>ентом поданной заявки до окончания срока приема заявок вернуть задаток в 5 (Пяти) - дневный срок со дня поступления уведомления об отзыве заявки на счет, указанный Претендентом.</w:t>
      </w:r>
    </w:p>
    <w:p w14:paraId="15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2.2.2. В случае снятия предмета торгов (какого-либо из лотов) с торгов, вернут</w:t>
      </w:r>
      <w:r>
        <w:rPr>
          <w:rFonts w:ascii="Times New Roman" w:hAnsi="Times New Roman"/>
          <w:sz w:val="22"/>
        </w:rPr>
        <w:t>ь задаток в 5 (Пяти) - дневный срок со дня принятия решения об отмене торгов.</w:t>
      </w:r>
    </w:p>
    <w:p w14:paraId="16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2.2.3. В случае принятия организатором торгов решения об отказе в допуске Претендента</w:t>
      </w:r>
      <w:r>
        <w:rPr>
          <w:rFonts w:ascii="Times New Roman" w:hAnsi="Times New Roman"/>
          <w:sz w:val="22"/>
        </w:rPr>
        <w:br/>
      </w:r>
      <w:r>
        <w:rPr>
          <w:rFonts w:ascii="Times New Roman" w:hAnsi="Times New Roman"/>
          <w:sz w:val="22"/>
        </w:rPr>
        <w:t>к участию в торгах вернуть задаток в 5 (Пяти) - дневный срок со дня окончания срока приема з</w:t>
      </w:r>
      <w:r>
        <w:rPr>
          <w:rFonts w:ascii="Times New Roman" w:hAnsi="Times New Roman"/>
          <w:sz w:val="22"/>
        </w:rPr>
        <w:t>аявок, если Претендент не исправил недостатки и в установленный срок не подал заявку на участи</w:t>
      </w:r>
      <w:r>
        <w:rPr>
          <w:rFonts w:ascii="Times New Roman" w:hAnsi="Times New Roman"/>
          <w:sz w:val="22"/>
        </w:rPr>
        <w:t>е</w:t>
      </w:r>
      <w:r>
        <w:rPr>
          <w:rFonts w:ascii="Times New Roman" w:hAnsi="Times New Roman"/>
          <w:sz w:val="22"/>
        </w:rPr>
        <w:br/>
      </w:r>
      <w:r>
        <w:rPr>
          <w:rFonts w:ascii="Times New Roman" w:hAnsi="Times New Roman"/>
          <w:sz w:val="22"/>
        </w:rPr>
        <w:t>в торгах.</w:t>
      </w:r>
    </w:p>
    <w:p w14:paraId="17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2.2.4. В случае непризнания Претендента победителем торгов вернуть задаток в 5 (Пяти) -дневный срок со дня подведения итогов торгов.</w:t>
      </w:r>
    </w:p>
    <w:p w14:paraId="18000000">
      <w:pPr>
        <w:pStyle w:val="Style_3"/>
        <w:rPr>
          <w:rFonts w:ascii="Times New Roman" w:hAnsi="Times New Roman"/>
          <w:sz w:val="22"/>
        </w:rPr>
      </w:pPr>
    </w:p>
    <w:p w14:paraId="19000000">
      <w:pPr>
        <w:pStyle w:val="Style_2"/>
        <w:ind w:firstLine="0" w:lef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sz w:val="22"/>
        </w:rPr>
        <w:t>3. СРОК ДЕЙСТВИЯ</w:t>
      </w:r>
      <w:r>
        <w:rPr>
          <w:rFonts w:ascii="Times New Roman" w:hAnsi="Times New Roman"/>
          <w:b w:val="1"/>
          <w:sz w:val="22"/>
        </w:rPr>
        <w:t xml:space="preserve"> ДОГОВОРА</w:t>
      </w:r>
    </w:p>
    <w:p w14:paraId="1A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3.1. Настоящий договор вступает в силу со дня его подписания сторонами.</w:t>
      </w:r>
    </w:p>
    <w:p w14:paraId="1B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C000000">
      <w:pPr>
        <w:pStyle w:val="Style_3"/>
        <w:rPr>
          <w:rFonts w:ascii="Times New Roman" w:hAnsi="Times New Roman"/>
          <w:sz w:val="22"/>
        </w:rPr>
      </w:pPr>
    </w:p>
    <w:p w14:paraId="1D000000">
      <w:pPr>
        <w:pStyle w:val="Style_2"/>
        <w:ind w:firstLine="0" w:left="0"/>
        <w:jc w:val="center"/>
        <w:rPr>
          <w:rFonts w:ascii="Times New Roman" w:hAnsi="Times New Roman"/>
          <w:b w:val="1"/>
          <w:sz w:val="22"/>
        </w:rPr>
      </w:pPr>
    </w:p>
    <w:p w14:paraId="1E000000">
      <w:pPr>
        <w:pStyle w:val="Style_2"/>
        <w:ind w:firstLine="0" w:left="0"/>
        <w:jc w:val="center"/>
        <w:rPr>
          <w:rFonts w:ascii="Times New Roman" w:hAnsi="Times New Roman"/>
          <w:b w:val="1"/>
          <w:sz w:val="22"/>
        </w:rPr>
      </w:pPr>
    </w:p>
    <w:p w14:paraId="1F000000">
      <w:pPr>
        <w:pStyle w:val="Style_2"/>
        <w:ind w:firstLine="0" w:left="0"/>
        <w:jc w:val="center"/>
        <w:rPr>
          <w:rFonts w:ascii="Times New Roman" w:hAnsi="Times New Roman"/>
          <w:b w:val="1"/>
          <w:sz w:val="22"/>
        </w:rPr>
      </w:pPr>
    </w:p>
    <w:p w14:paraId="20000000">
      <w:pPr>
        <w:pStyle w:val="Style_2"/>
        <w:ind w:firstLine="0" w:lef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sz w:val="22"/>
        </w:rPr>
        <w:t>4. ЗАКЛЮЧИТЕЛЬНЫ</w:t>
      </w:r>
      <w:r>
        <w:rPr>
          <w:rFonts w:ascii="Times New Roman" w:hAnsi="Times New Roman"/>
          <w:b w:val="1"/>
          <w:sz w:val="22"/>
        </w:rPr>
        <w:t>Е ПОЛОЖЕНИЯ</w:t>
      </w:r>
    </w:p>
    <w:p w14:paraId="21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г. Москвы.</w:t>
      </w:r>
    </w:p>
    <w:p w14:paraId="22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4.2. Настоящий договор состав</w:t>
      </w:r>
      <w:r>
        <w:rPr>
          <w:rFonts w:ascii="Times New Roman" w:hAnsi="Times New Roman"/>
          <w:sz w:val="22"/>
        </w:rPr>
        <w:t>лен в двух экземплярах, имеющих одинаковую юридическую силу, один из которых находится у Продавца, а другой - у Претендента.</w:t>
      </w:r>
    </w:p>
    <w:p w14:paraId="23000000">
      <w:pPr>
        <w:pStyle w:val="Style_2"/>
        <w:ind w:firstLine="540" w:lef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4000000">
      <w:pPr>
        <w:pStyle w:val="Style_3"/>
        <w:rPr>
          <w:rFonts w:ascii="Times New Roman" w:hAnsi="Times New Roman"/>
          <w:sz w:val="22"/>
        </w:rPr>
      </w:pPr>
    </w:p>
    <w:p w14:paraId="25000000">
      <w:pPr>
        <w:pStyle w:val="Style_2"/>
        <w:ind w:firstLine="0" w:lef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sz w:val="22"/>
        </w:rPr>
        <w:t>5. АДРЕСА И</w:t>
      </w:r>
      <w:r>
        <w:rPr>
          <w:rFonts w:ascii="Times New Roman" w:hAnsi="Times New Roman"/>
          <w:b w:val="1"/>
          <w:sz w:val="22"/>
        </w:rPr>
        <w:t xml:space="preserve"> ПЛАТЕЖНЫЕ РЕКВИЗИТЫ СТОРОН</w:t>
      </w:r>
    </w:p>
    <w:p w14:paraId="26000000">
      <w:pPr>
        <w:pStyle w:val="Style_3"/>
        <w:rPr>
          <w:rFonts w:ascii="Times New Roman" w:hAnsi="Times New Roman"/>
          <w:sz w:val="22"/>
        </w:rPr>
      </w:pPr>
    </w:p>
    <w:tbl>
      <w:tblPr>
        <w:tblStyle w:val="Style_7"/>
        <w:tblInd w:type="dxa" w:w="70"/>
        <w:tblLayout w:type="fixed"/>
        <w:tblCellMar>
          <w:left w:type="dxa" w:w="70"/>
          <w:right w:type="dxa" w:w="70"/>
        </w:tblCellMar>
      </w:tblPr>
      <w:tblGrid>
        <w:gridCol w:w="4860"/>
        <w:gridCol w:w="266"/>
        <w:gridCol w:w="4513"/>
      </w:tblGrid>
      <w:tr>
        <w:trPr>
          <w:trHeight w:hRule="atLeast" w:val="241"/>
        </w:trPr>
        <w:tc>
          <w:tcPr>
            <w:tcW w:type="dxa" w:w="4860"/>
            <w:shd w:fill="auto" w:val="clear"/>
            <w:tcMar>
              <w:left w:type="dxa" w:w="70"/>
              <w:right w:type="dxa" w:w="70"/>
            </w:tcMar>
          </w:tcPr>
          <w:p w14:paraId="27000000">
            <w:pPr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Продавец:</w:t>
            </w:r>
          </w:p>
        </w:tc>
        <w:tc>
          <w:tcPr>
            <w:tcW w:type="dxa" w:w="266"/>
            <w:shd w:fill="auto" w:val="clear"/>
            <w:tcMar>
              <w:left w:type="dxa" w:w="70"/>
              <w:right w:type="dxa" w:w="70"/>
            </w:tcMar>
          </w:tcPr>
          <w:p w14:paraId="28000000">
            <w:pPr>
              <w:spacing w:line="276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4513"/>
            <w:shd w:fill="auto" w:val="clear"/>
            <w:tcMar>
              <w:left w:type="dxa" w:w="70"/>
              <w:right w:type="dxa" w:w="70"/>
            </w:tcMar>
          </w:tcPr>
          <w:p w14:paraId="29000000">
            <w:pPr>
              <w:spacing w:line="276" w:lineRule="auto"/>
              <w:ind/>
              <w:jc w:val="center"/>
            </w:pPr>
            <w:r>
              <w:rPr>
                <w:b w:val="1"/>
                <w:sz w:val="22"/>
              </w:rPr>
              <w:t>Претендент:</w:t>
            </w:r>
          </w:p>
        </w:tc>
      </w:tr>
      <w:tr>
        <w:trPr>
          <w:trHeight w:hRule="atLeast" w:val="686"/>
        </w:trPr>
        <w:tc>
          <w:tcPr>
            <w:tcW w:type="dxa" w:w="4860"/>
            <w:shd w:fill="auto" w:val="clear"/>
            <w:tcMar>
              <w:left w:type="dxa" w:w="70"/>
              <w:right w:type="dxa" w:w="70"/>
            </w:tcMar>
          </w:tcPr>
          <w:p w14:paraId="2A000000">
            <w:pPr>
              <w:pStyle w:val="Style_8"/>
              <w:ind/>
              <w:jc w:val="both"/>
              <w:rPr>
                <w:sz w:val="22"/>
              </w:rPr>
            </w:pPr>
          </w:p>
        </w:tc>
        <w:tc>
          <w:tcPr>
            <w:tcW w:type="dxa" w:w="266"/>
            <w:shd w:fill="auto" w:val="clear"/>
            <w:tcMar>
              <w:left w:type="dxa" w:w="70"/>
              <w:right w:type="dxa" w:w="70"/>
            </w:tcMar>
          </w:tcPr>
          <w:p w14:paraId="2B000000">
            <w:pPr>
              <w:spacing w:line="276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4513"/>
            <w:shd w:fill="auto" w:val="clear"/>
            <w:tcMar>
              <w:left w:type="dxa" w:w="70"/>
              <w:right w:type="dxa" w:w="70"/>
            </w:tcMar>
          </w:tcPr>
          <w:p w14:paraId="2C000000">
            <w:pPr>
              <w:pStyle w:val="Style_4"/>
              <w:spacing w:line="276" w:lineRule="auto"/>
              <w:ind/>
              <w:jc w:val="center"/>
              <w:rPr>
                <w:rFonts w:ascii="Times New Roman" w:hAnsi="Times New Roman"/>
                <w:sz w:val="22"/>
              </w:rPr>
            </w:pPr>
          </w:p>
        </w:tc>
      </w:tr>
      <w:tr>
        <w:tc>
          <w:tcPr>
            <w:tcW w:type="dxa" w:w="4860"/>
            <w:shd w:fill="auto" w:val="clear"/>
            <w:tcMar>
              <w:left w:type="dxa" w:w="70"/>
              <w:right w:type="dxa" w:w="70"/>
            </w:tcMar>
          </w:tcPr>
          <w:p w14:paraId="2D000000">
            <w:pPr>
              <w:ind/>
              <w:jc w:val="both"/>
              <w:rPr>
                <w:sz w:val="22"/>
              </w:rPr>
            </w:pPr>
          </w:p>
          <w:p w14:paraId="2E000000">
            <w:pPr>
              <w:ind w:firstLine="0" w:left="-68" w:right="436"/>
              <w:jc w:val="both"/>
              <w:rPr>
                <w:b w:val="1"/>
                <w:sz w:val="18"/>
              </w:rPr>
            </w:pPr>
            <w:r>
              <w:rPr>
                <w:b w:val="1"/>
              </w:rPr>
              <w:t>Гаспарян Асмик Сумбатовн</w:t>
            </w:r>
            <w:r>
              <w:rPr>
                <w:b w:val="1"/>
                <w:sz w:val="18"/>
              </w:rPr>
              <w:t>а</w:t>
            </w:r>
          </w:p>
          <w:p w14:paraId="2F000000">
            <w:pPr>
              <w:ind w:firstLine="0" w:left="-68" w:right="436"/>
              <w:jc w:val="both"/>
              <w:rPr>
                <w:sz w:val="18"/>
              </w:rPr>
            </w:pPr>
          </w:p>
          <w:p w14:paraId="30000000">
            <w:pPr>
              <w:ind/>
              <w:jc w:val="both"/>
              <w:rPr>
                <w:rStyle w:val="Style_6_ch"/>
                <w:b w:val="1"/>
                <w:color w:val="333333"/>
                <w:sz w:val="18"/>
              </w:rPr>
            </w:pPr>
            <w:r>
              <w:rPr>
                <w:rStyle w:val="Style_6_ch"/>
                <w:color w:val="333333"/>
                <w:sz w:val="18"/>
              </w:rPr>
              <w:t xml:space="preserve">р/с </w:t>
            </w:r>
            <w:r>
              <w:rPr>
                <w:rStyle w:val="Style_6_ch"/>
                <w:b w:val="1"/>
                <w:color w:val="333333"/>
                <w:sz w:val="18"/>
              </w:rPr>
              <w:t xml:space="preserve">№ 40702810729330000981, </w:t>
            </w:r>
          </w:p>
          <w:p w14:paraId="31000000">
            <w:pPr>
              <w:ind/>
              <w:jc w:val="both"/>
              <w:rPr>
                <w:rStyle w:val="Style_6_ch"/>
                <w:b w:val="1"/>
                <w:color w:val="333333"/>
                <w:sz w:val="18"/>
              </w:rPr>
            </w:pPr>
            <w:r>
              <w:rPr>
                <w:rStyle w:val="Style_6_ch"/>
                <w:b w:val="1"/>
                <w:color w:val="333333"/>
                <w:sz w:val="18"/>
              </w:rPr>
              <w:t>в Филиал «Нижегородский» АО «Альфа-Банк»</w:t>
            </w:r>
          </w:p>
          <w:p w14:paraId="32000000">
            <w:pPr>
              <w:ind/>
              <w:jc w:val="both"/>
              <w:rPr>
                <w:rStyle w:val="Style_6_ch"/>
                <w:b w:val="1"/>
                <w:color w:val="333333"/>
                <w:sz w:val="18"/>
              </w:rPr>
            </w:pPr>
            <w:r>
              <w:rPr>
                <w:rStyle w:val="Style_6_ch"/>
                <w:b w:val="1"/>
                <w:color w:val="333333"/>
                <w:sz w:val="18"/>
              </w:rPr>
              <w:t>к/с 30101810200000000824</w:t>
            </w:r>
          </w:p>
          <w:p w14:paraId="33000000">
            <w:pPr>
              <w:ind/>
              <w:jc w:val="both"/>
              <w:rPr>
                <w:rStyle w:val="Style_6_ch"/>
                <w:color w:val="333333"/>
                <w:sz w:val="18"/>
              </w:rPr>
            </w:pPr>
            <w:r>
              <w:rPr>
                <w:rStyle w:val="Style_6_ch"/>
                <w:b w:val="1"/>
                <w:color w:val="333333"/>
                <w:sz w:val="18"/>
              </w:rPr>
              <w:t>БИК 042202824</w:t>
            </w:r>
          </w:p>
          <w:p w14:paraId="34000000">
            <w:pPr>
              <w:ind/>
              <w:jc w:val="both"/>
              <w:rPr>
                <w:sz w:val="18"/>
              </w:rPr>
            </w:pPr>
            <w:r>
              <w:rPr>
                <w:rStyle w:val="Style_6_ch"/>
                <w:color w:val="333333"/>
                <w:sz w:val="18"/>
              </w:rPr>
              <w:t>ИНН 0278184720, КПП 027801001</w:t>
            </w:r>
          </w:p>
          <w:p w14:paraId="35000000">
            <w:pPr>
              <w:ind w:firstLine="0" w:left="-68" w:right="436"/>
              <w:jc w:val="both"/>
              <w:rPr>
                <w:sz w:val="18"/>
              </w:rPr>
            </w:pPr>
          </w:p>
          <w:p w14:paraId="36000000">
            <w:pPr>
              <w:ind w:firstLine="0" w:left="-68" w:right="436"/>
              <w:jc w:val="both"/>
              <w:rPr>
                <w:b w:val="1"/>
                <w:sz w:val="22"/>
              </w:rPr>
            </w:pPr>
            <w:r>
              <w:rPr>
                <w:sz w:val="18"/>
              </w:rPr>
              <w:t xml:space="preserve">Финансовый </w:t>
            </w:r>
            <w:r>
              <w:rPr>
                <w:b w:val="1"/>
                <w:sz w:val="18"/>
              </w:rPr>
              <w:t>упра</w:t>
            </w:r>
            <w:r>
              <w:rPr>
                <w:b w:val="1"/>
                <w:sz w:val="18"/>
              </w:rPr>
              <w:t xml:space="preserve">вляющий   _______   </w:t>
            </w:r>
            <w:r>
              <w:rPr>
                <w:b w:val="1"/>
                <w:sz w:val="18"/>
              </w:rPr>
              <w:t>Хачатрян М.С.</w:t>
            </w:r>
          </w:p>
        </w:tc>
        <w:tc>
          <w:tcPr>
            <w:tcW w:type="dxa" w:w="266"/>
            <w:shd w:fill="auto" w:val="clear"/>
            <w:tcMar>
              <w:left w:type="dxa" w:w="70"/>
              <w:right w:type="dxa" w:w="70"/>
            </w:tcMar>
          </w:tcPr>
          <w:p w14:paraId="37000000">
            <w:pPr>
              <w:spacing w:line="276" w:lineRule="auto"/>
              <w:ind/>
              <w:jc w:val="center"/>
              <w:rPr>
                <w:b w:val="1"/>
                <w:sz w:val="22"/>
              </w:rPr>
            </w:pPr>
          </w:p>
        </w:tc>
        <w:tc>
          <w:tcPr>
            <w:tcW w:type="dxa" w:w="4513"/>
            <w:shd w:fill="auto" w:val="clear"/>
            <w:tcMar>
              <w:left w:type="dxa" w:w="70"/>
              <w:right w:type="dxa" w:w="70"/>
            </w:tcMar>
          </w:tcPr>
          <w:p w14:paraId="38000000">
            <w:pPr>
              <w:ind/>
              <w:jc w:val="both"/>
            </w:pPr>
          </w:p>
          <w:p w14:paraId="39000000">
            <w:pPr>
              <w:ind/>
              <w:jc w:val="both"/>
              <w:rPr>
                <w:b w:val="1"/>
                <w:sz w:val="22"/>
              </w:rPr>
            </w:pPr>
          </w:p>
          <w:p w14:paraId="3A000000">
            <w:pPr>
              <w:ind/>
              <w:jc w:val="both"/>
              <w:rPr>
                <w:b w:val="1"/>
                <w:sz w:val="22"/>
              </w:rPr>
            </w:pPr>
          </w:p>
          <w:p w14:paraId="3B000000">
            <w:pPr>
              <w:ind/>
              <w:jc w:val="both"/>
              <w:rPr>
                <w:b w:val="1"/>
                <w:sz w:val="22"/>
              </w:rPr>
            </w:pPr>
          </w:p>
          <w:p w14:paraId="3C000000">
            <w:pPr>
              <w:ind/>
              <w:jc w:val="both"/>
              <w:rPr>
                <w:b w:val="1"/>
                <w:sz w:val="22"/>
              </w:rPr>
            </w:pPr>
          </w:p>
          <w:p w14:paraId="3D000000">
            <w:pPr>
              <w:ind/>
              <w:jc w:val="both"/>
              <w:rPr>
                <w:b w:val="1"/>
                <w:sz w:val="22"/>
              </w:rPr>
            </w:pPr>
          </w:p>
          <w:p w14:paraId="3E000000">
            <w:pPr>
              <w:ind/>
              <w:jc w:val="both"/>
              <w:rPr>
                <w:b w:val="1"/>
                <w:sz w:val="22"/>
              </w:rPr>
            </w:pPr>
          </w:p>
          <w:p w14:paraId="3F000000">
            <w:pPr>
              <w:ind/>
              <w:jc w:val="both"/>
              <w:rPr>
                <w:b w:val="1"/>
                <w:sz w:val="22"/>
              </w:rPr>
            </w:pPr>
          </w:p>
          <w:p w14:paraId="40000000">
            <w:pPr>
              <w:ind/>
              <w:jc w:val="both"/>
              <w:rPr>
                <w:b w:val="1"/>
                <w:sz w:val="22"/>
              </w:rPr>
            </w:pPr>
          </w:p>
          <w:p w14:paraId="41000000">
            <w:pPr>
              <w:ind/>
              <w:jc w:val="both"/>
              <w:rPr>
                <w:b w:val="1"/>
                <w:sz w:val="22"/>
              </w:rPr>
            </w:pPr>
          </w:p>
          <w:p w14:paraId="42000000">
            <w:pPr>
              <w:ind/>
              <w:jc w:val="both"/>
            </w:pP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_______________</w:t>
            </w:r>
          </w:p>
        </w:tc>
      </w:tr>
    </w:tbl>
    <w:p w14:paraId="43000000"/>
    <w:p w14:paraId="44000000"/>
    <w:p w14:paraId="45000000">
      <w:r>
        <w:rPr>
          <w:b w:val="1"/>
          <w:color w:val="000000"/>
          <w:sz w:val="22"/>
        </w:rPr>
        <w:t xml:space="preserve">                               </w:t>
      </w:r>
      <w:r>
        <w:rPr>
          <w:color w:val="000000"/>
          <w:sz w:val="22"/>
        </w:rPr>
        <w:t xml:space="preserve">   </w:t>
      </w:r>
    </w:p>
    <w:p w14:paraId="46000000"/>
    <w:p w14:paraId="47000000">
      <w:pPr>
        <w:ind/>
        <w:jc w:val="both"/>
        <w:rPr>
          <w:sz w:val="22"/>
        </w:rPr>
      </w:pPr>
    </w:p>
    <w:p w14:paraId="48000000">
      <w:pPr>
        <w:pStyle w:val="Style_3"/>
        <w:rPr>
          <w:rFonts w:ascii="Times New Roman" w:hAnsi="Times New Roman"/>
          <w:sz w:val="22"/>
        </w:rPr>
      </w:pPr>
    </w:p>
    <w:p w14:paraId="49000000">
      <w:pPr>
        <w:pStyle w:val="Style_3"/>
        <w:rPr>
          <w:rFonts w:ascii="Times New Roman" w:hAnsi="Times New Roman"/>
          <w:sz w:val="22"/>
        </w:rPr>
      </w:pPr>
    </w:p>
    <w:p w14:paraId="4A000000">
      <w:pPr>
        <w:pStyle w:val="Style_3"/>
        <w:rPr>
          <w:rFonts w:ascii="Times New Roman" w:hAnsi="Times New Roman"/>
          <w:sz w:val="22"/>
        </w:rPr>
      </w:pPr>
    </w:p>
    <w:p w14:paraId="4B000000">
      <w:pPr>
        <w:pStyle w:val="Style_3"/>
        <w:rPr>
          <w:rFonts w:ascii="Times New Roman" w:hAnsi="Times New Roman"/>
          <w:sz w:val="22"/>
        </w:rPr>
      </w:pPr>
    </w:p>
    <w:p w14:paraId="4C000000">
      <w:pPr>
        <w:pStyle w:val="Style_3"/>
        <w:rPr>
          <w:rFonts w:ascii="Times New Roman" w:hAnsi="Times New Roman"/>
          <w:sz w:val="22"/>
        </w:rPr>
      </w:pPr>
    </w:p>
    <w:p w14:paraId="4D000000">
      <w:pPr>
        <w:pStyle w:val="Style_3"/>
        <w:rPr>
          <w:rFonts w:ascii="Times New Roman" w:hAnsi="Times New Roman"/>
          <w:sz w:val="22"/>
        </w:rPr>
      </w:pPr>
    </w:p>
    <w:p w14:paraId="4E000000">
      <w:pPr>
        <w:pStyle w:val="Style_9"/>
        <w:rPr>
          <w:rFonts w:ascii="Times New Roman" w:hAnsi="Times New Roman"/>
          <w:b w:val="1"/>
          <w:sz w:val="22"/>
        </w:rPr>
      </w:pPr>
    </w:p>
    <w:sectPr>
      <w:pgSz w:h="16838" w:orient="portrait" w:w="11906"/>
      <w:pgMar w:bottom="1134" w:footer="720" w:gutter="0" w:header="720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41"/>
      <w:lvlJc w:val="left"/>
      <w:pPr>
        <w:tabs>
          <w:tab w:leader="none" w:pos="0" w:val="left"/>
        </w:tabs>
        <w:ind w:hanging="432" w:left="432"/>
      </w:pPr>
    </w:lvl>
    <w:lvl w:ilvl="1">
      <w:start w:val="1"/>
      <w:numFmt w:val="decimal"/>
      <w:pStyle w:val="Style_72"/>
      <w:lvlJc w:val="left"/>
      <w:pPr>
        <w:tabs>
          <w:tab w:leader="none" w:pos="0" w:val="left"/>
        </w:tabs>
        <w:ind w:hanging="576" w:left="576"/>
      </w:pPr>
    </w:lvl>
    <w:lvl w:ilvl="2">
      <w:start w:val="1"/>
      <w:numFmt w:val="decimal"/>
      <w:pStyle w:val="Style_1"/>
      <w:lvlJc w:val="left"/>
      <w:pPr>
        <w:tabs>
          <w:tab w:leader="none" w:pos="0" w:val="left"/>
        </w:tabs>
        <w:ind w:hanging="720" w:left="720"/>
      </w:pPr>
    </w:lvl>
    <w:lvl w:ilvl="3">
      <w:start w:val="1"/>
      <w:numFmt w:val="decimal"/>
      <w:pStyle w:val="Style_70"/>
      <w:lvlJc w:val="left"/>
      <w:pPr>
        <w:tabs>
          <w:tab w:leader="none" w:pos="0" w:val="left"/>
        </w:tabs>
        <w:ind w:hanging="864" w:left="864"/>
      </w:pPr>
    </w:lvl>
    <w:lvl w:ilvl="4">
      <w:start w:val="1"/>
      <w:numFmt w:val="decimal"/>
      <w:pStyle w:val="Style_38"/>
      <w:lvlJc w:val="left"/>
      <w:pPr>
        <w:tabs>
          <w:tab w:leader="none" w:pos="0" w:val="left"/>
        </w:tabs>
        <w:ind w:hanging="1008" w:left="1008"/>
      </w:pPr>
    </w:lvl>
    <w:lvl w:ilvl="5">
      <w:start w:val="1"/>
      <w:numFmt w:val="decimal"/>
      <w:pStyle w:val="Style_76"/>
      <w:lvlJc w:val="left"/>
      <w:pPr>
        <w:tabs>
          <w:tab w:leader="none" w:pos="0" w:val="left"/>
        </w:tabs>
        <w:ind w:hanging="1152" w:left="1152"/>
      </w:pPr>
    </w:lvl>
    <w:lvl w:ilvl="6">
      <w:start w:val="1"/>
      <w:numFmt w:val="decimal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pStyle w:val="Style_26"/>
      <w:lvlJc w:val="left"/>
      <w:pPr>
        <w:tabs>
          <w:tab w:leader="none" w:pos="0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0" w:type="paragraph">
    <w:name w:val="Normal"/>
    <w:link w:val="Style_10_ch"/>
    <w:uiPriority w:val="0"/>
    <w:qFormat/>
  </w:style>
  <w:style w:default="1" w:styleId="Style_10_ch" w:type="character">
    <w:name w:val="Normal"/>
    <w:link w:val="Style_10"/>
  </w:style>
  <w:style w:styleId="Style_11" w:type="paragraph">
    <w:name w:val="toc 2"/>
    <w:next w:val="Style_10"/>
    <w:link w:val="Style_11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WW8Num1z3"/>
    <w:link w:val="Style_12_ch"/>
  </w:style>
  <w:style w:styleId="Style_12_ch" w:type="character">
    <w:name w:val="WW8Num1z3"/>
    <w:link w:val="Style_12"/>
  </w:style>
  <w:style w:styleId="Style_13" w:type="paragraph">
    <w:name w:val="Body Text"/>
    <w:basedOn w:val="Style_10"/>
    <w:link w:val="Style_13_ch"/>
    <w:pPr>
      <w:ind/>
      <w:jc w:val="both"/>
    </w:pPr>
    <w:rPr>
      <w:sz w:val="24"/>
    </w:rPr>
  </w:style>
  <w:style w:styleId="Style_13_ch" w:type="character">
    <w:name w:val="Body Text"/>
    <w:basedOn w:val="Style_10_ch"/>
    <w:link w:val="Style_13"/>
    <w:rPr>
      <w:sz w:val="24"/>
    </w:rPr>
  </w:style>
  <w:style w:styleId="Style_14" w:type="paragraph">
    <w:name w:val="toc 4"/>
    <w:next w:val="Style_10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Preformat"/>
    <w:link w:val="Style_16_ch"/>
    <w:rPr>
      <w:rFonts w:ascii="Courier New" w:hAnsi="Courier New"/>
    </w:rPr>
  </w:style>
  <w:style w:styleId="Style_16_ch" w:type="character">
    <w:name w:val="Preformat"/>
    <w:link w:val="Style_16"/>
    <w:rPr>
      <w:rFonts w:ascii="Courier New" w:hAnsi="Courier New"/>
    </w:rPr>
  </w:style>
  <w:style w:styleId="Style_17" w:type="paragraph">
    <w:name w:val="toc 6"/>
    <w:next w:val="Style_10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0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WW8Num8z0"/>
    <w:link w:val="Style_19_ch"/>
  </w:style>
  <w:style w:styleId="Style_19_ch" w:type="character">
    <w:name w:val="WW8Num8z0"/>
    <w:link w:val="Style_19"/>
  </w:style>
  <w:style w:styleId="Style_8" w:type="paragraph">
    <w:name w:val="Default"/>
    <w:link w:val="Style_8_ch"/>
    <w:rPr>
      <w:color w:val="000000"/>
      <w:sz w:val="24"/>
    </w:rPr>
  </w:style>
  <w:style w:styleId="Style_8_ch" w:type="character">
    <w:name w:val="Default"/>
    <w:link w:val="Style_8"/>
    <w:rPr>
      <w:color w:val="000000"/>
      <w:sz w:val="24"/>
    </w:rPr>
  </w:style>
  <w:style w:styleId="Style_20" w:type="paragraph">
    <w:name w:val="WW8Num3z0"/>
    <w:link w:val="Style_20_ch"/>
    <w:rPr>
      <w:b w:val="1"/>
    </w:rPr>
  </w:style>
  <w:style w:styleId="Style_20_ch" w:type="character">
    <w:name w:val="WW8Num3z0"/>
    <w:link w:val="Style_20"/>
    <w:rPr>
      <w:b w:val="1"/>
    </w:rPr>
  </w:style>
  <w:style w:styleId="Style_21" w:type="paragraph">
    <w:name w:val="WW8Num1z5"/>
    <w:link w:val="Style_21_ch"/>
  </w:style>
  <w:style w:styleId="Style_21_ch" w:type="character">
    <w:name w:val="WW8Num1z5"/>
    <w:link w:val="Style_21"/>
  </w:style>
  <w:style w:styleId="Style_1" w:type="paragraph">
    <w:name w:val="heading 3"/>
    <w:basedOn w:val="Style_10"/>
    <w:next w:val="Style_10"/>
    <w:link w:val="Style_1_ch"/>
    <w:uiPriority w:val="9"/>
    <w:qFormat/>
    <w:pPr>
      <w:keepNext w:val="1"/>
      <w:numPr>
        <w:ilvl w:val="2"/>
        <w:numId w:val="1"/>
      </w:numPr>
      <w:spacing w:line="360" w:lineRule="auto"/>
      <w:ind/>
      <w:jc w:val="both"/>
      <w:outlineLvl w:val="2"/>
    </w:pPr>
    <w:rPr>
      <w:b w:val="1"/>
      <w:i w:val="1"/>
      <w:sz w:val="22"/>
    </w:rPr>
  </w:style>
  <w:style w:styleId="Style_1_ch" w:type="character">
    <w:name w:val="heading 3"/>
    <w:basedOn w:val="Style_10_ch"/>
    <w:link w:val="Style_1"/>
    <w:rPr>
      <w:b w:val="1"/>
      <w:i w:val="1"/>
      <w:sz w:val="22"/>
    </w:rPr>
  </w:style>
  <w:style w:styleId="Style_22" w:type="paragraph">
    <w:name w:val="WW8Num6z0"/>
    <w:link w:val="Style_22_ch"/>
  </w:style>
  <w:style w:styleId="Style_22_ch" w:type="character">
    <w:name w:val="WW8Num6z0"/>
    <w:link w:val="Style_22"/>
  </w:style>
  <w:style w:styleId="Style_6" w:type="paragraph">
    <w:name w:val="apple-style-span"/>
    <w:link w:val="Style_6_ch"/>
  </w:style>
  <w:style w:styleId="Style_6_ch" w:type="character">
    <w:name w:val="apple-style-span"/>
    <w:link w:val="Style_6"/>
  </w:style>
  <w:style w:styleId="Style_23" w:type="paragraph">
    <w:name w:val="WW8Num1z8"/>
    <w:link w:val="Style_23_ch"/>
  </w:style>
  <w:style w:styleId="Style_23_ch" w:type="character">
    <w:name w:val="WW8Num1z8"/>
    <w:link w:val="Style_23"/>
  </w:style>
  <w:style w:styleId="Style_24" w:type="paragraph">
    <w:name w:val="Содержимое таблицы"/>
    <w:basedOn w:val="Style_10"/>
    <w:link w:val="Style_24_ch"/>
  </w:style>
  <w:style w:styleId="Style_24_ch" w:type="character">
    <w:name w:val="Содержимое таблицы"/>
    <w:basedOn w:val="Style_10_ch"/>
    <w:link w:val="Style_24"/>
  </w:style>
  <w:style w:styleId="Style_3" w:type="paragraph">
    <w:name w:val="ConsNonformat"/>
    <w:link w:val="Style_3_ch"/>
    <w:rPr>
      <w:rFonts w:ascii="Courier New" w:hAnsi="Courier New"/>
    </w:rPr>
  </w:style>
  <w:style w:styleId="Style_3_ch" w:type="character">
    <w:name w:val="ConsNonformat"/>
    <w:link w:val="Style_3"/>
    <w:rPr>
      <w:rFonts w:ascii="Courier New" w:hAnsi="Courier New"/>
    </w:rPr>
  </w:style>
  <w:style w:styleId="Style_25" w:type="paragraph">
    <w:name w:val=" Char Char Знак Знак Char Char Знак Знак Знак Знак Знак Знак Знак Знак Знак Знак Знак Знак"/>
    <w:basedOn w:val="Style_10"/>
    <w:link w:val="Style_25_ch"/>
    <w:rPr>
      <w:rFonts w:ascii="Verdana" w:hAnsi="Verdana"/>
    </w:rPr>
  </w:style>
  <w:style w:styleId="Style_25_ch" w:type="character">
    <w:name w:val=" Char Char Знак Знак Char Char Знак Знак Знак Знак Знак Знак Знак Знак Знак Знак Знак Знак"/>
    <w:basedOn w:val="Style_10_ch"/>
    <w:link w:val="Style_25"/>
    <w:rPr>
      <w:rFonts w:ascii="Verdana" w:hAnsi="Verdana"/>
    </w:rPr>
  </w:style>
  <w:style w:styleId="Style_26" w:type="paragraph">
    <w:name w:val="heading 9"/>
    <w:basedOn w:val="Style_10"/>
    <w:next w:val="Style_10"/>
    <w:link w:val="Style_26_ch"/>
    <w:uiPriority w:val="9"/>
    <w:qFormat/>
    <w:pPr>
      <w:keepNext w:val="1"/>
      <w:numPr>
        <w:ilvl w:val="8"/>
        <w:numId w:val="1"/>
      </w:numPr>
      <w:ind/>
      <w:jc w:val="center"/>
      <w:outlineLvl w:val="8"/>
    </w:pPr>
    <w:rPr>
      <w:b w:val="1"/>
      <w:sz w:val="24"/>
      <w:u w:val="single"/>
    </w:rPr>
  </w:style>
  <w:style w:styleId="Style_26_ch" w:type="character">
    <w:name w:val="heading 9"/>
    <w:basedOn w:val="Style_10_ch"/>
    <w:link w:val="Style_26"/>
    <w:rPr>
      <w:b w:val="1"/>
      <w:sz w:val="24"/>
      <w:u w:val="single"/>
    </w:rPr>
  </w:style>
  <w:style w:styleId="Style_27" w:type="paragraph">
    <w:name w:val="WW8Num4z0"/>
    <w:link w:val="Style_27_ch"/>
  </w:style>
  <w:style w:styleId="Style_27_ch" w:type="character">
    <w:name w:val="WW8Num4z0"/>
    <w:link w:val="Style_27"/>
  </w:style>
  <w:style w:styleId="Style_28" w:type="paragraph">
    <w:name w:val="Название"/>
    <w:basedOn w:val="Style_10"/>
    <w:link w:val="Style_28_ch"/>
    <w:pPr>
      <w:spacing w:after="120" w:before="120"/>
      <w:ind/>
    </w:pPr>
    <w:rPr>
      <w:i w:val="1"/>
      <w:sz w:val="24"/>
    </w:rPr>
  </w:style>
  <w:style w:styleId="Style_28_ch" w:type="character">
    <w:name w:val="Название"/>
    <w:basedOn w:val="Style_10_ch"/>
    <w:link w:val="Style_28"/>
    <w:rPr>
      <w:i w:val="1"/>
      <w:sz w:val="24"/>
    </w:rPr>
  </w:style>
  <w:style w:styleId="Style_29" w:type="paragraph">
    <w:name w:val="Основной текст 21"/>
    <w:basedOn w:val="Style_10"/>
    <w:link w:val="Style_29_ch"/>
    <w:pPr>
      <w:ind/>
      <w:jc w:val="both"/>
    </w:pPr>
    <w:rPr>
      <w:sz w:val="22"/>
    </w:rPr>
  </w:style>
  <w:style w:styleId="Style_29_ch" w:type="character">
    <w:name w:val="Основной текст 21"/>
    <w:basedOn w:val="Style_10_ch"/>
    <w:link w:val="Style_29"/>
    <w:rPr>
      <w:sz w:val="22"/>
    </w:rPr>
  </w:style>
  <w:style w:styleId="Style_30" w:type="paragraph">
    <w:name w:val="WW8Num1z6"/>
    <w:link w:val="Style_30_ch"/>
  </w:style>
  <w:style w:styleId="Style_30_ch" w:type="character">
    <w:name w:val="WW8Num1z6"/>
    <w:link w:val="Style_30"/>
  </w:style>
  <w:style w:styleId="Style_31" w:type="paragraph">
    <w:name w:val="toc 3"/>
    <w:next w:val="Style_10"/>
    <w:link w:val="Style_3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1_ch" w:type="character">
    <w:name w:val="toc 3"/>
    <w:link w:val="Style_31"/>
    <w:rPr>
      <w:rFonts w:ascii="XO Thames" w:hAnsi="XO Thames"/>
      <w:sz w:val="28"/>
    </w:rPr>
  </w:style>
  <w:style w:styleId="Style_32" w:type="paragraph">
    <w:name w:val="Основной текст Знак"/>
    <w:link w:val="Style_32_ch"/>
    <w:rPr>
      <w:sz w:val="24"/>
    </w:rPr>
  </w:style>
  <w:style w:styleId="Style_32_ch" w:type="character">
    <w:name w:val="Основной текст Знак"/>
    <w:link w:val="Style_32"/>
    <w:rPr>
      <w:sz w:val="24"/>
    </w:rPr>
  </w:style>
  <w:style w:styleId="Style_4" w:type="paragraph">
    <w:name w:val="Текст1"/>
    <w:basedOn w:val="Style_10"/>
    <w:link w:val="Style_4_ch"/>
    <w:rPr>
      <w:rFonts w:ascii="Courier New" w:hAnsi="Courier New"/>
    </w:rPr>
  </w:style>
  <w:style w:styleId="Style_4_ch" w:type="character">
    <w:name w:val="Текст1"/>
    <w:basedOn w:val="Style_10_ch"/>
    <w:link w:val="Style_4"/>
    <w:rPr>
      <w:rFonts w:ascii="Courier New" w:hAnsi="Courier New"/>
    </w:rPr>
  </w:style>
  <w:style w:styleId="Style_33" w:type="paragraph">
    <w:name w:val="WW8Num1z0"/>
    <w:link w:val="Style_33_ch"/>
  </w:style>
  <w:style w:styleId="Style_33_ch" w:type="character">
    <w:name w:val="WW8Num1z0"/>
    <w:link w:val="Style_33"/>
  </w:style>
  <w:style w:styleId="Style_5" w:type="paragraph">
    <w:name w:val="highlight4"/>
    <w:link w:val="Style_5_ch"/>
    <w:rPr>
      <w:rFonts w:ascii="Times New Roman" w:hAnsi="Times New Roman"/>
      <w:color w:val="0000FF"/>
    </w:rPr>
  </w:style>
  <w:style w:styleId="Style_5_ch" w:type="character">
    <w:name w:val="highlight4"/>
    <w:link w:val="Style_5"/>
    <w:rPr>
      <w:rFonts w:ascii="Times New Roman" w:hAnsi="Times New Roman"/>
      <w:color w:val="0000FF"/>
    </w:rPr>
  </w:style>
  <w:style w:styleId="Style_34" w:type="paragraph">
    <w:name w:val="Основной текст 31"/>
    <w:basedOn w:val="Style_10"/>
    <w:link w:val="Style_34_ch"/>
    <w:rPr>
      <w:sz w:val="22"/>
    </w:rPr>
  </w:style>
  <w:style w:styleId="Style_34_ch" w:type="character">
    <w:name w:val="Основной текст 31"/>
    <w:basedOn w:val="Style_10_ch"/>
    <w:link w:val="Style_34"/>
    <w:rPr>
      <w:sz w:val="22"/>
    </w:rPr>
  </w:style>
  <w:style w:styleId="Style_35" w:type="paragraph">
    <w:name w:val="Основной текст с отступом 31"/>
    <w:basedOn w:val="Style_10"/>
    <w:link w:val="Style_35_ch"/>
    <w:pPr>
      <w:ind w:firstLine="709" w:left="0" w:right="0"/>
      <w:jc w:val="both"/>
    </w:pPr>
    <w:rPr>
      <w:b w:val="1"/>
      <w:sz w:val="26"/>
    </w:rPr>
  </w:style>
  <w:style w:styleId="Style_35_ch" w:type="character">
    <w:name w:val="Основной текст с отступом 31"/>
    <w:basedOn w:val="Style_10_ch"/>
    <w:link w:val="Style_35"/>
    <w:rPr>
      <w:b w:val="1"/>
      <w:sz w:val="26"/>
    </w:rPr>
  </w:style>
  <w:style w:styleId="Style_36" w:type="paragraph">
    <w:name w:val="WW8Num6z7"/>
    <w:link w:val="Style_36_ch"/>
  </w:style>
  <w:style w:styleId="Style_36_ch" w:type="character">
    <w:name w:val="WW8Num6z7"/>
    <w:link w:val="Style_36"/>
  </w:style>
  <w:style w:styleId="Style_37" w:type="paragraph">
    <w:name w:val="Заголовок1"/>
    <w:basedOn w:val="Style_10"/>
    <w:next w:val="Style_13"/>
    <w:link w:val="Style_37_ch"/>
    <w:pPr>
      <w:keepNext w:val="1"/>
      <w:spacing w:after="120" w:before="240"/>
      <w:ind/>
    </w:pPr>
    <w:rPr>
      <w:rFonts w:ascii="Arial" w:hAnsi="Arial"/>
      <w:sz w:val="28"/>
    </w:rPr>
  </w:style>
  <w:style w:styleId="Style_37_ch" w:type="character">
    <w:name w:val="Заголовок1"/>
    <w:basedOn w:val="Style_10_ch"/>
    <w:link w:val="Style_37"/>
    <w:rPr>
      <w:rFonts w:ascii="Arial" w:hAnsi="Arial"/>
      <w:sz w:val="28"/>
    </w:rPr>
  </w:style>
  <w:style w:styleId="Style_38" w:type="paragraph">
    <w:name w:val="heading 5"/>
    <w:basedOn w:val="Style_10"/>
    <w:next w:val="Style_10"/>
    <w:link w:val="Style_38_ch"/>
    <w:uiPriority w:val="9"/>
    <w:qFormat/>
    <w:pPr>
      <w:keepNext w:val="1"/>
      <w:numPr>
        <w:ilvl w:val="4"/>
        <w:numId w:val="1"/>
      </w:numPr>
      <w:ind w:firstLine="709" w:left="0" w:right="0"/>
      <w:jc w:val="both"/>
      <w:outlineLvl w:val="4"/>
    </w:pPr>
    <w:rPr>
      <w:b w:val="1"/>
      <w:sz w:val="22"/>
    </w:rPr>
  </w:style>
  <w:style w:styleId="Style_38_ch" w:type="character">
    <w:name w:val="heading 5"/>
    <w:basedOn w:val="Style_10_ch"/>
    <w:link w:val="Style_38"/>
    <w:rPr>
      <w:b w:val="1"/>
      <w:sz w:val="22"/>
    </w:rPr>
  </w:style>
  <w:style w:styleId="Style_39" w:type="paragraph">
    <w:name w:val="WW8Num6z8"/>
    <w:link w:val="Style_39_ch"/>
  </w:style>
  <w:style w:styleId="Style_39_ch" w:type="character">
    <w:name w:val="WW8Num6z8"/>
    <w:link w:val="Style_39"/>
  </w:style>
  <w:style w:styleId="Style_40" w:type="paragraph">
    <w:name w:val="WW8Num9z0"/>
    <w:link w:val="Style_40_ch"/>
  </w:style>
  <w:style w:styleId="Style_40_ch" w:type="character">
    <w:name w:val="WW8Num9z0"/>
    <w:link w:val="Style_40"/>
  </w:style>
  <w:style w:styleId="Style_41" w:type="paragraph">
    <w:name w:val="heading 1"/>
    <w:basedOn w:val="Style_10"/>
    <w:next w:val="Style_10"/>
    <w:link w:val="Style_41_ch"/>
    <w:uiPriority w:val="9"/>
    <w:qFormat/>
    <w:pPr>
      <w:keepNext w:val="1"/>
      <w:numPr>
        <w:ilvl w:val="0"/>
        <w:numId w:val="1"/>
      </w:numPr>
      <w:ind/>
      <w:jc w:val="both"/>
      <w:outlineLvl w:val="0"/>
    </w:pPr>
    <w:rPr>
      <w:b w:val="1"/>
      <w:sz w:val="24"/>
    </w:rPr>
  </w:style>
  <w:style w:styleId="Style_41_ch" w:type="character">
    <w:name w:val="heading 1"/>
    <w:basedOn w:val="Style_10_ch"/>
    <w:link w:val="Style_41"/>
    <w:rPr>
      <w:b w:val="1"/>
      <w:sz w:val="24"/>
    </w:rPr>
  </w:style>
  <w:style w:styleId="Style_42" w:type="paragraph">
    <w:name w:val="WW8Num6z4"/>
    <w:link w:val="Style_42_ch"/>
  </w:style>
  <w:style w:styleId="Style_42_ch" w:type="character">
    <w:name w:val="WW8Num6z4"/>
    <w:link w:val="Style_42"/>
  </w:style>
  <w:style w:styleId="Style_43" w:type="paragraph">
    <w:name w:val="Hyperlink"/>
    <w:link w:val="Style_43_ch"/>
    <w:rPr>
      <w:color w:val="0000FF"/>
      <w:u w:val="single"/>
    </w:rPr>
  </w:style>
  <w:style w:styleId="Style_43_ch" w:type="character">
    <w:name w:val="Hyperlink"/>
    <w:link w:val="Style_43"/>
    <w:rPr>
      <w:color w:val="0000FF"/>
      <w:u w:val="single"/>
    </w:rPr>
  </w:style>
  <w:style w:styleId="Style_44" w:type="paragraph">
    <w:name w:val="Footnote"/>
    <w:link w:val="Style_44_ch"/>
    <w:pPr>
      <w:ind w:firstLine="851" w:left="0"/>
      <w:jc w:val="both"/>
    </w:pPr>
    <w:rPr>
      <w:rFonts w:ascii="XO Thames" w:hAnsi="XO Thames"/>
      <w:sz w:val="22"/>
    </w:rPr>
  </w:style>
  <w:style w:styleId="Style_44_ch" w:type="character">
    <w:name w:val="Footnote"/>
    <w:link w:val="Style_44"/>
    <w:rPr>
      <w:rFonts w:ascii="XO Thames" w:hAnsi="XO Thames"/>
      <w:sz w:val="22"/>
    </w:rPr>
  </w:style>
  <w:style w:styleId="Style_45" w:type="paragraph">
    <w:name w:val="toc 1"/>
    <w:next w:val="Style_10"/>
    <w:link w:val="Style_4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5_ch" w:type="character">
    <w:name w:val="toc 1"/>
    <w:link w:val="Style_45"/>
    <w:rPr>
      <w:rFonts w:ascii="XO Thames" w:hAnsi="XO Thames"/>
      <w:b w:val="1"/>
      <w:sz w:val="28"/>
    </w:rPr>
  </w:style>
  <w:style w:styleId="Style_46" w:type="paragraph">
    <w:name w:val="Header and Footer"/>
    <w:link w:val="Style_46_ch"/>
    <w:pPr>
      <w:spacing w:line="240" w:lineRule="auto"/>
      <w:ind/>
      <w:jc w:val="both"/>
    </w:pPr>
    <w:rPr>
      <w:rFonts w:ascii="XO Thames" w:hAnsi="XO Thames"/>
      <w:sz w:val="20"/>
    </w:rPr>
  </w:style>
  <w:style w:styleId="Style_46_ch" w:type="character">
    <w:name w:val="Header and Footer"/>
    <w:link w:val="Style_46"/>
    <w:rPr>
      <w:rFonts w:ascii="XO Thames" w:hAnsi="XO Thames"/>
      <w:sz w:val="20"/>
    </w:rPr>
  </w:style>
  <w:style w:styleId="Style_47" w:type="paragraph">
    <w:name w:val="WW8Num1z2"/>
    <w:link w:val="Style_47_ch"/>
  </w:style>
  <w:style w:styleId="Style_47_ch" w:type="character">
    <w:name w:val="WW8Num1z2"/>
    <w:link w:val="Style_47"/>
  </w:style>
  <w:style w:styleId="Style_48" w:type="paragraph">
    <w:name w:val="WW8Num6z1"/>
    <w:link w:val="Style_48_ch"/>
  </w:style>
  <w:style w:styleId="Style_48_ch" w:type="character">
    <w:name w:val="WW8Num6z1"/>
    <w:link w:val="Style_48"/>
  </w:style>
  <w:style w:styleId="Style_49" w:type="paragraph">
    <w:name w:val="WW8Num6z6"/>
    <w:link w:val="Style_49_ch"/>
  </w:style>
  <w:style w:styleId="Style_49_ch" w:type="character">
    <w:name w:val="WW8Num6z6"/>
    <w:link w:val="Style_49"/>
  </w:style>
  <w:style w:styleId="Style_50" w:type="paragraph">
    <w:name w:val="List"/>
    <w:basedOn w:val="Style_13"/>
    <w:link w:val="Style_50_ch"/>
  </w:style>
  <w:style w:styleId="Style_50_ch" w:type="character">
    <w:name w:val="List"/>
    <w:basedOn w:val="Style_13_ch"/>
    <w:link w:val="Style_50"/>
  </w:style>
  <w:style w:styleId="Style_51" w:type="paragraph">
    <w:name w:val="toc 9"/>
    <w:next w:val="Style_10"/>
    <w:link w:val="Style_5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1_ch" w:type="character">
    <w:name w:val="toc 9"/>
    <w:link w:val="Style_51"/>
    <w:rPr>
      <w:rFonts w:ascii="XO Thames" w:hAnsi="XO Thames"/>
      <w:sz w:val="28"/>
    </w:rPr>
  </w:style>
  <w:style w:styleId="Style_52" w:type="paragraph">
    <w:name w:val="WW8Num6z2"/>
    <w:link w:val="Style_52_ch"/>
  </w:style>
  <w:style w:styleId="Style_52_ch" w:type="character">
    <w:name w:val="WW8Num6z2"/>
    <w:link w:val="Style_52"/>
  </w:style>
  <w:style w:styleId="Style_53" w:type="paragraph">
    <w:name w:val="ConsTitle"/>
    <w:link w:val="Style_53_ch"/>
    <w:rPr>
      <w:rFonts w:ascii="Arial" w:hAnsi="Arial"/>
      <w:b w:val="1"/>
      <w:sz w:val="16"/>
    </w:rPr>
  </w:style>
  <w:style w:styleId="Style_53_ch" w:type="character">
    <w:name w:val="ConsTitle"/>
    <w:link w:val="Style_53"/>
    <w:rPr>
      <w:rFonts w:ascii="Arial" w:hAnsi="Arial"/>
      <w:b w:val="1"/>
      <w:sz w:val="16"/>
    </w:rPr>
  </w:style>
  <w:style w:styleId="Style_54" w:type="paragraph">
    <w:name w:val="WW8Num5z0"/>
    <w:link w:val="Style_54_ch"/>
  </w:style>
  <w:style w:styleId="Style_54_ch" w:type="character">
    <w:name w:val="WW8Num5z0"/>
    <w:link w:val="Style_54"/>
  </w:style>
  <w:style w:styleId="Style_55" w:type="paragraph">
    <w:name w:val=" Знак Знак"/>
    <w:basedOn w:val="Style_10"/>
    <w:link w:val="Style_55_ch"/>
    <w:rPr>
      <w:rFonts w:ascii="Verdana" w:hAnsi="Verdana"/>
    </w:rPr>
  </w:style>
  <w:style w:styleId="Style_55_ch" w:type="character">
    <w:name w:val=" Знак Знак"/>
    <w:basedOn w:val="Style_10_ch"/>
    <w:link w:val="Style_55"/>
    <w:rPr>
      <w:rFonts w:ascii="Verdana" w:hAnsi="Verdana"/>
    </w:rPr>
  </w:style>
  <w:style w:styleId="Style_2" w:type="paragraph">
    <w:name w:val="ConsNormal"/>
    <w:link w:val="Style_2_ch"/>
    <w:pPr>
      <w:ind w:firstLine="720" w:left="0"/>
    </w:pPr>
    <w:rPr>
      <w:rFonts w:ascii="Arial" w:hAnsi="Arial"/>
    </w:rPr>
  </w:style>
  <w:style w:styleId="Style_2_ch" w:type="character">
    <w:name w:val="ConsNormal"/>
    <w:link w:val="Style_2"/>
    <w:rPr>
      <w:rFonts w:ascii="Arial" w:hAnsi="Arial"/>
    </w:rPr>
  </w:style>
  <w:style w:styleId="Style_56" w:type="paragraph">
    <w:name w:val="toc 8"/>
    <w:next w:val="Style_10"/>
    <w:link w:val="Style_5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6_ch" w:type="character">
    <w:name w:val="toc 8"/>
    <w:link w:val="Style_56"/>
    <w:rPr>
      <w:rFonts w:ascii="XO Thames" w:hAnsi="XO Thames"/>
      <w:sz w:val="28"/>
    </w:rPr>
  </w:style>
  <w:style w:styleId="Style_57" w:type="paragraph">
    <w:name w:val="Body Text Indent"/>
    <w:basedOn w:val="Style_10"/>
    <w:link w:val="Style_57_ch"/>
    <w:pPr>
      <w:ind w:firstLine="709" w:left="0" w:right="0"/>
      <w:jc w:val="both"/>
    </w:pPr>
    <w:rPr>
      <w:sz w:val="22"/>
    </w:rPr>
  </w:style>
  <w:style w:styleId="Style_57_ch" w:type="character">
    <w:name w:val="Body Text Indent"/>
    <w:basedOn w:val="Style_10_ch"/>
    <w:link w:val="Style_57"/>
    <w:rPr>
      <w:sz w:val="22"/>
    </w:rPr>
  </w:style>
  <w:style w:styleId="Style_58" w:type="paragraph">
    <w:name w:val="Заголовок таблицы"/>
    <w:basedOn w:val="Style_24"/>
    <w:link w:val="Style_58_ch"/>
    <w:pPr>
      <w:ind/>
      <w:jc w:val="center"/>
    </w:pPr>
    <w:rPr>
      <w:b w:val="1"/>
    </w:rPr>
  </w:style>
  <w:style w:styleId="Style_58_ch" w:type="character">
    <w:name w:val="Заголовок таблицы"/>
    <w:basedOn w:val="Style_24_ch"/>
    <w:link w:val="Style_58"/>
    <w:rPr>
      <w:b w:val="1"/>
    </w:rPr>
  </w:style>
  <w:style w:styleId="Style_59" w:type="paragraph">
    <w:name w:val="Balloon Text"/>
    <w:basedOn w:val="Style_10"/>
    <w:link w:val="Style_59_ch"/>
    <w:rPr>
      <w:rFonts w:ascii="Tahoma" w:hAnsi="Tahoma"/>
      <w:sz w:val="16"/>
    </w:rPr>
  </w:style>
  <w:style w:styleId="Style_59_ch" w:type="character">
    <w:name w:val="Balloon Text"/>
    <w:basedOn w:val="Style_10_ch"/>
    <w:link w:val="Style_59"/>
    <w:rPr>
      <w:rFonts w:ascii="Tahoma" w:hAnsi="Tahoma"/>
      <w:sz w:val="16"/>
    </w:rPr>
  </w:style>
  <w:style w:styleId="Style_60" w:type="paragraph">
    <w:name w:val="toc 5"/>
    <w:next w:val="Style_10"/>
    <w:link w:val="Style_6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60_ch" w:type="character">
    <w:name w:val="toc 5"/>
    <w:link w:val="Style_60"/>
    <w:rPr>
      <w:rFonts w:ascii="XO Thames" w:hAnsi="XO Thames"/>
      <w:sz w:val="28"/>
    </w:rPr>
  </w:style>
  <w:style w:styleId="Style_9" w:type="paragraph">
    <w:name w:val="Текст2"/>
    <w:basedOn w:val="Style_10"/>
    <w:link w:val="Style_9_ch"/>
    <w:rPr>
      <w:rFonts w:ascii="Courier New" w:hAnsi="Courier New"/>
    </w:rPr>
  </w:style>
  <w:style w:styleId="Style_9_ch" w:type="character">
    <w:name w:val="Текст2"/>
    <w:basedOn w:val="Style_10_ch"/>
    <w:link w:val="Style_9"/>
    <w:rPr>
      <w:rFonts w:ascii="Courier New" w:hAnsi="Courier New"/>
    </w:rPr>
  </w:style>
  <w:style w:styleId="Style_61" w:type="paragraph">
    <w:name w:val="WW8Num7z0"/>
    <w:link w:val="Style_61_ch"/>
  </w:style>
  <w:style w:styleId="Style_61_ch" w:type="character">
    <w:name w:val="WW8Num7z0"/>
    <w:link w:val="Style_61"/>
  </w:style>
  <w:style w:styleId="Style_62" w:type="paragraph">
    <w:name w:val="WW8Num1z1"/>
    <w:link w:val="Style_62_ch"/>
  </w:style>
  <w:style w:styleId="Style_62_ch" w:type="character">
    <w:name w:val="WW8Num1z1"/>
    <w:link w:val="Style_62"/>
  </w:style>
  <w:style w:styleId="Style_63" w:type="paragraph">
    <w:name w:val="WW8Num2z0"/>
    <w:link w:val="Style_63_ch"/>
  </w:style>
  <w:style w:styleId="Style_63_ch" w:type="character">
    <w:name w:val="WW8Num2z0"/>
    <w:link w:val="Style_63"/>
  </w:style>
  <w:style w:styleId="Style_64" w:type="paragraph">
    <w:name w:val="WW8Num10z0"/>
    <w:link w:val="Style_64_ch"/>
  </w:style>
  <w:style w:styleId="Style_64_ch" w:type="character">
    <w:name w:val="WW8Num10z0"/>
    <w:link w:val="Style_64"/>
  </w:style>
  <w:style w:styleId="Style_65" w:type="paragraph">
    <w:name w:val="Subtitle"/>
    <w:basedOn w:val="Style_10"/>
    <w:next w:val="Style_13"/>
    <w:link w:val="Style_65_ch"/>
    <w:uiPriority w:val="11"/>
    <w:qFormat/>
    <w:pPr>
      <w:ind/>
      <w:jc w:val="both"/>
    </w:pPr>
    <w:rPr>
      <w:b w:val="1"/>
      <w:sz w:val="24"/>
    </w:rPr>
  </w:style>
  <w:style w:styleId="Style_65_ch" w:type="character">
    <w:name w:val="Subtitle"/>
    <w:basedOn w:val="Style_10_ch"/>
    <w:link w:val="Style_65"/>
    <w:rPr>
      <w:b w:val="1"/>
      <w:sz w:val="24"/>
    </w:rPr>
  </w:style>
  <w:style w:styleId="Style_66" w:type="paragraph">
    <w:name w:val="Указатель1"/>
    <w:basedOn w:val="Style_10"/>
    <w:link w:val="Style_66_ch"/>
  </w:style>
  <w:style w:styleId="Style_66_ch" w:type="character">
    <w:name w:val="Указатель1"/>
    <w:basedOn w:val="Style_10_ch"/>
    <w:link w:val="Style_66"/>
  </w:style>
  <w:style w:styleId="Style_67" w:type="paragraph">
    <w:name w:val="WW8Num6z5"/>
    <w:link w:val="Style_67_ch"/>
  </w:style>
  <w:style w:styleId="Style_67_ch" w:type="character">
    <w:name w:val="WW8Num6z5"/>
    <w:link w:val="Style_67"/>
  </w:style>
  <w:style w:styleId="Style_68" w:type="paragraph">
    <w:name w:val="WW8Num6z3"/>
    <w:link w:val="Style_68_ch"/>
  </w:style>
  <w:style w:styleId="Style_68_ch" w:type="character">
    <w:name w:val="WW8Num6z3"/>
    <w:link w:val="Style_68"/>
  </w:style>
  <w:style w:styleId="Style_69" w:type="paragraph">
    <w:name w:val="Title"/>
    <w:basedOn w:val="Style_10"/>
    <w:next w:val="Style_65"/>
    <w:link w:val="Style_69_ch"/>
    <w:uiPriority w:val="10"/>
    <w:qFormat/>
    <w:pPr>
      <w:ind/>
      <w:jc w:val="center"/>
    </w:pPr>
    <w:rPr>
      <w:b w:val="1"/>
      <w:sz w:val="24"/>
    </w:rPr>
  </w:style>
  <w:style w:styleId="Style_69_ch" w:type="character">
    <w:name w:val="Title"/>
    <w:basedOn w:val="Style_10_ch"/>
    <w:link w:val="Style_69"/>
    <w:rPr>
      <w:b w:val="1"/>
      <w:sz w:val="24"/>
    </w:rPr>
  </w:style>
  <w:style w:styleId="Style_70" w:type="paragraph">
    <w:name w:val="heading 4"/>
    <w:basedOn w:val="Style_10"/>
    <w:next w:val="Style_10"/>
    <w:link w:val="Style_70_ch"/>
    <w:uiPriority w:val="9"/>
    <w:qFormat/>
    <w:pPr>
      <w:keepNext w:val="1"/>
      <w:numPr>
        <w:ilvl w:val="3"/>
        <w:numId w:val="1"/>
      </w:numPr>
      <w:ind/>
      <w:outlineLvl w:val="3"/>
    </w:pPr>
    <w:rPr>
      <w:b w:val="1"/>
      <w:sz w:val="22"/>
    </w:rPr>
  </w:style>
  <w:style w:styleId="Style_70_ch" w:type="character">
    <w:name w:val="heading 4"/>
    <w:basedOn w:val="Style_10_ch"/>
    <w:link w:val="Style_70"/>
    <w:rPr>
      <w:b w:val="1"/>
      <w:sz w:val="22"/>
    </w:rPr>
  </w:style>
  <w:style w:styleId="Style_71" w:type="paragraph">
    <w:name w:val="WW8Num1z4"/>
    <w:link w:val="Style_71_ch"/>
  </w:style>
  <w:style w:styleId="Style_71_ch" w:type="character">
    <w:name w:val="WW8Num1z4"/>
    <w:link w:val="Style_71"/>
  </w:style>
  <w:style w:styleId="Style_72" w:type="paragraph">
    <w:name w:val="heading 2"/>
    <w:basedOn w:val="Style_10"/>
    <w:next w:val="Style_10"/>
    <w:link w:val="Style_72_ch"/>
    <w:uiPriority w:val="9"/>
    <w:qFormat/>
    <w:pPr>
      <w:keepNext w:val="1"/>
      <w:numPr>
        <w:ilvl w:val="1"/>
        <w:numId w:val="1"/>
      </w:numPr>
      <w:ind/>
      <w:jc w:val="center"/>
      <w:outlineLvl w:val="1"/>
    </w:pPr>
    <w:rPr>
      <w:b w:val="1"/>
    </w:rPr>
  </w:style>
  <w:style w:styleId="Style_72_ch" w:type="character">
    <w:name w:val="heading 2"/>
    <w:basedOn w:val="Style_10_ch"/>
    <w:link w:val="Style_72"/>
    <w:rPr>
      <w:b w:val="1"/>
    </w:rPr>
  </w:style>
  <w:style w:styleId="Style_73" w:type="paragraph">
    <w:name w:val="header"/>
    <w:basedOn w:val="Style_10"/>
    <w:link w:val="Style_73_ch"/>
    <w:pPr>
      <w:tabs>
        <w:tab w:leader="none" w:pos="4153" w:val="center"/>
        <w:tab w:leader="none" w:pos="8306" w:val="right"/>
      </w:tabs>
      <w:ind/>
    </w:pPr>
    <w:rPr>
      <w:sz w:val="24"/>
    </w:rPr>
  </w:style>
  <w:style w:styleId="Style_73_ch" w:type="character">
    <w:name w:val="header"/>
    <w:basedOn w:val="Style_10_ch"/>
    <w:link w:val="Style_73"/>
    <w:rPr>
      <w:sz w:val="24"/>
    </w:rPr>
  </w:style>
  <w:style w:styleId="Style_74" w:type="paragraph">
    <w:name w:val="Основной шрифт абзаца1"/>
    <w:link w:val="Style_74_ch"/>
  </w:style>
  <w:style w:styleId="Style_74_ch" w:type="character">
    <w:name w:val="Основной шрифт абзаца1"/>
    <w:link w:val="Style_74"/>
  </w:style>
  <w:style w:styleId="Style_75" w:type="paragraph">
    <w:name w:val="WW8Num1z7"/>
    <w:link w:val="Style_75_ch"/>
  </w:style>
  <w:style w:styleId="Style_75_ch" w:type="character">
    <w:name w:val="WW8Num1z7"/>
    <w:link w:val="Style_75"/>
  </w:style>
  <w:style w:styleId="Style_76" w:type="paragraph">
    <w:name w:val="heading 6"/>
    <w:basedOn w:val="Style_10"/>
    <w:next w:val="Style_10"/>
    <w:link w:val="Style_76_ch"/>
    <w:uiPriority w:val="9"/>
    <w:qFormat/>
    <w:pPr>
      <w:keepNext w:val="1"/>
      <w:numPr>
        <w:ilvl w:val="5"/>
        <w:numId w:val="1"/>
      </w:numPr>
      <w:ind/>
      <w:jc w:val="center"/>
      <w:outlineLvl w:val="5"/>
    </w:pPr>
    <w:rPr>
      <w:b w:val="1"/>
      <w:sz w:val="22"/>
    </w:rPr>
  </w:style>
  <w:style w:styleId="Style_76_ch" w:type="character">
    <w:name w:val="heading 6"/>
    <w:basedOn w:val="Style_10_ch"/>
    <w:link w:val="Style_76"/>
    <w:rPr>
      <w:b w:val="1"/>
      <w:sz w:val="22"/>
    </w:rPr>
  </w:style>
  <w:style w:styleId="Style_77" w:type="paragraph">
    <w:name w:val="Основной текст с отступом 21"/>
    <w:basedOn w:val="Style_10"/>
    <w:link w:val="Style_77_ch"/>
    <w:pPr>
      <w:ind w:firstLine="360" w:left="0" w:right="0"/>
      <w:jc w:val="both"/>
    </w:pPr>
    <w:rPr>
      <w:sz w:val="24"/>
    </w:rPr>
  </w:style>
  <w:style w:styleId="Style_77_ch" w:type="character">
    <w:name w:val="Основной текст с отступом 21"/>
    <w:basedOn w:val="Style_10_ch"/>
    <w:link w:val="Style_77"/>
    <w:rPr>
      <w:sz w:val="24"/>
    </w:r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2026-05-26T10:51:57Z</dcterms:modified>
</cp:coreProperties>
</file>